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opFromText="567" w:vertAnchor="page" w:horzAnchor="page" w:tblpXSpec="center" w:tblpY="1419"/>
        <w:tblOverlap w:val="never"/>
        <w:tblW w:w="158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38"/>
        <w:gridCol w:w="2382"/>
        <w:gridCol w:w="5769"/>
        <w:gridCol w:w="1459"/>
        <w:gridCol w:w="2088"/>
        <w:gridCol w:w="1210"/>
        <w:gridCol w:w="1522"/>
      </w:tblGrid>
      <w:tr w:rsidR="00B749B5" w:rsidRPr="00B749B5" w:rsidTr="00334033">
        <w:trPr>
          <w:trHeight w:val="836"/>
        </w:trPr>
        <w:tc>
          <w:tcPr>
            <w:tcW w:w="158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9B5" w:rsidRPr="00B749B5" w:rsidRDefault="00B749B5" w:rsidP="00B749B5">
            <w:pPr>
              <w:spacing w:before="280" w:after="280" w:line="24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bookmarkStart w:id="0" w:name="_Hlk67595787"/>
            <w:bookmarkStart w:id="1" w:name="_GoBack"/>
            <w:bookmarkEnd w:id="1"/>
            <w:r w:rsidRPr="00B749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Akčný plán na roky 2021-2022 Národného programu zdravotnej starostlivosti o pacientov so zriedkavými chorobami do roku 2030</w:t>
            </w:r>
          </w:p>
          <w:p w:rsidR="00B749B5" w:rsidRPr="00B749B5" w:rsidRDefault="00B749B5" w:rsidP="00B749B5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Národný program zdravotnej starostlivosti o pacientov so zriedkavými chorobami do roku 2030 (NP 2030) nadväzuje obsahom na Národný program rozvoja zdravotnej</w:t>
            </w:r>
            <w:r w:rsidR="00334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B749B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starostlivosti o pacientov so zriedkavými chorobami v SR na obdobie rokov 2016–2020. Akčný plán na roky 2021-2022 (AP) významne prispeje k rozvoju najdôležitejších zámerov pre zlepšenie situácie v oblasti ZCH. Medzi prioritami pre NP 2030 sa v SR aktuálne pozornosť zameriava najmä na dostupnosť špecializovanej diagnostiky, liečby a starostlivosti o pacientov v expertíznych a špecializovaných pracoviskách pre zriedkavé choroby, ktorých kvalita je v prípade expertíznych pracovísk potenciovaná spoluprácou s ERN (Európske referenčné siete pre ZCH). sa odvíjajú aj od európskej iniciatívy RARE 2030, ktorá poskytuje komplexné odporúčania pre vývoj politík do roku 2030. </w:t>
            </w:r>
          </w:p>
          <w:p w:rsidR="00B749B5" w:rsidRPr="00B749B5" w:rsidRDefault="00B749B5" w:rsidP="00334033">
            <w:pPr>
              <w:spacing w:before="28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  <w:t>Akčný plán na roky 2021-2022 sa zameriava na plnenie priorít v NP 2030:</w:t>
            </w:r>
          </w:p>
          <w:p w:rsidR="00B749B5" w:rsidRPr="00B749B5" w:rsidRDefault="00B749B5" w:rsidP="00334033">
            <w:pPr>
              <w:spacing w:before="28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• Rozvíjať informovanosť verejnosti o zriedkavých chorobách</w:t>
            </w:r>
          </w:p>
          <w:p w:rsidR="00B749B5" w:rsidRPr="00B749B5" w:rsidRDefault="00B749B5" w:rsidP="00334033">
            <w:pPr>
              <w:spacing w:before="28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• Rozširovať vzdelávanie odbornej verejnosti o zriedkavých chorobách</w:t>
            </w:r>
          </w:p>
          <w:p w:rsidR="00B749B5" w:rsidRPr="00B749B5" w:rsidRDefault="00B749B5" w:rsidP="00334033">
            <w:pPr>
              <w:spacing w:before="28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• Rozširovať a skvalitňovať diagnostiku, liečbu a starostlivosť o pacientov so zriedkavými chorobami</w:t>
            </w:r>
          </w:p>
          <w:p w:rsidR="00B749B5" w:rsidRPr="00B749B5" w:rsidRDefault="00B749B5" w:rsidP="00334033">
            <w:pPr>
              <w:spacing w:before="28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• Skríning a prevencia zriedkavých chorôb</w:t>
            </w:r>
          </w:p>
          <w:p w:rsidR="00B749B5" w:rsidRPr="00B749B5" w:rsidRDefault="00B749B5" w:rsidP="00334033">
            <w:pPr>
              <w:spacing w:before="28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• Podpora vedy a výskumu v oblasti zriedkavých chorôb</w:t>
            </w:r>
          </w:p>
          <w:p w:rsidR="00B749B5" w:rsidRPr="00B749B5" w:rsidRDefault="00B749B5" w:rsidP="00334033">
            <w:pPr>
              <w:spacing w:before="28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• Zber údajov o pacientoch so zriedkavými chorobami, špecializované registre a vytvorenie „Virtuálneho registra ZCH“</w:t>
            </w:r>
          </w:p>
          <w:p w:rsidR="00B749B5" w:rsidRPr="00B749B5" w:rsidRDefault="00B749B5" w:rsidP="00334033">
            <w:pPr>
              <w:spacing w:before="28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• Starostlivosť o kvalitu života a sociálne začlenenie pacientov so zriedkavou chorobou</w:t>
            </w:r>
          </w:p>
          <w:p w:rsidR="00B749B5" w:rsidRPr="00B749B5" w:rsidRDefault="00B749B5" w:rsidP="00334033">
            <w:pPr>
              <w:spacing w:before="28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• Medzirezortná spolupráca v problematike ZCH a rezortná komisia</w:t>
            </w:r>
          </w:p>
          <w:p w:rsidR="00B749B5" w:rsidRPr="00B749B5" w:rsidRDefault="00B749B5" w:rsidP="00334033">
            <w:pPr>
              <w:spacing w:before="28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• Zahraničná spolupráca v oblasti zriedkavých chorôb</w:t>
            </w:r>
          </w:p>
          <w:p w:rsidR="00B749B5" w:rsidRPr="00B749B5" w:rsidRDefault="00B749B5" w:rsidP="00B749B5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749B5" w:rsidRPr="00B749B5" w:rsidTr="00334033">
        <w:trPr>
          <w:cantSplit/>
          <w:trHeight w:val="836"/>
        </w:trPr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lastRenderedPageBreak/>
              <w:t>PRIORITA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ÚLOHA</w:t>
            </w:r>
          </w:p>
        </w:tc>
        <w:tc>
          <w:tcPr>
            <w:tcW w:w="5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9B5" w:rsidRPr="00B749B5" w:rsidRDefault="00B749B5" w:rsidP="00B749B5">
            <w:pPr>
              <w:spacing w:after="280" w:line="240" w:lineRule="auto"/>
              <w:ind w:left="728" w:hanging="7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AKTIVITY</w:t>
            </w:r>
          </w:p>
          <w:p w:rsidR="00B749B5" w:rsidRPr="00B749B5" w:rsidRDefault="00B749B5" w:rsidP="00B749B5">
            <w:pPr>
              <w:spacing w:after="280" w:line="240" w:lineRule="auto"/>
              <w:ind w:left="728" w:hanging="7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AKCIE / VÝSTUPY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GESTOR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SPOLUPRACUJÚCE SUBJEKTY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749B5" w:rsidRPr="00B749B5" w:rsidRDefault="00B749B5" w:rsidP="00B749B5">
            <w:pPr>
              <w:spacing w:after="28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Financie 2021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749B5" w:rsidRPr="00B749B5" w:rsidRDefault="00B749B5" w:rsidP="00B749B5">
            <w:pPr>
              <w:spacing w:after="28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Financie 2022</w:t>
            </w:r>
          </w:p>
        </w:tc>
      </w:tr>
      <w:tr w:rsidR="00B749B5" w:rsidRPr="00B749B5" w:rsidTr="00334033">
        <w:trPr>
          <w:trHeight w:val="879"/>
        </w:trPr>
        <w:tc>
          <w:tcPr>
            <w:tcW w:w="1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9B5" w:rsidRPr="00B749B5" w:rsidRDefault="00B749B5" w:rsidP="00B749B5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1. Rozvíjať</w:t>
            </w: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</w:r>
            <w:r w:rsidRPr="00B74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informovanosť</w:t>
            </w: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</w:r>
            <w:r w:rsidRPr="00B74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verejnosti</w:t>
            </w: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</w:r>
            <w:r w:rsidRPr="00B74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o problematike</w:t>
            </w: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</w:r>
            <w:r w:rsidRPr="00B74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ZCH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1.1. Informovanie laickej a odbornej verejnosti o ZCH</w:t>
            </w:r>
          </w:p>
        </w:tc>
        <w:tc>
          <w:tcPr>
            <w:tcW w:w="5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Medzinárodný deň zriedkavých chorôb február 2022</w:t>
            </w:r>
          </w:p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Informačné kampane, príspevky v odborných a vedeckých časopisoch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49B5" w:rsidRPr="00B749B5" w:rsidRDefault="00B749B5" w:rsidP="00B749B5">
            <w:pPr>
              <w:spacing w:after="280" w:line="240" w:lineRule="auto"/>
              <w:ind w:left="728" w:hanging="72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SAZCH, MZ SR</w:t>
            </w:r>
          </w:p>
          <w:p w:rsidR="00B749B5" w:rsidRPr="00B749B5" w:rsidRDefault="00B749B5" w:rsidP="00B749B5">
            <w:pPr>
              <w:spacing w:after="280" w:line="240" w:lineRule="auto"/>
              <w:ind w:left="728" w:hanging="72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49B5" w:rsidRPr="00B749B5" w:rsidRDefault="00B749B5" w:rsidP="00B749B5">
            <w:pPr>
              <w:spacing w:after="280" w:line="240" w:lineRule="auto"/>
              <w:ind w:left="728" w:hanging="72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  <w:t>2 000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2 000</w:t>
            </w:r>
          </w:p>
        </w:tc>
      </w:tr>
      <w:tr w:rsidR="00B749B5" w:rsidRPr="00B749B5" w:rsidTr="00334033">
        <w:trPr>
          <w:trHeight w:val="879"/>
        </w:trPr>
        <w:tc>
          <w:tcPr>
            <w:tcW w:w="14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9B5" w:rsidRPr="00B749B5" w:rsidRDefault="00B749B5" w:rsidP="00B749B5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1.2. Informačná platforma o problematike ZCH</w:t>
            </w:r>
          </w:p>
        </w:tc>
        <w:tc>
          <w:tcPr>
            <w:tcW w:w="5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Newsletter o ZCH pre zvýšenie informovanosti a zlepšenie spolupráce (vnútrorezortná, medzirezortná, s verejnosťou) v oblasti ZCH</w:t>
            </w:r>
          </w:p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Online newsletter o aktivitách v oblasti zriedkavých chorôb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49B5" w:rsidRPr="00B749B5" w:rsidRDefault="00B749B5" w:rsidP="00B749B5">
            <w:pPr>
              <w:spacing w:after="280" w:line="240" w:lineRule="auto"/>
              <w:ind w:left="728" w:hanging="72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SAZCH, MZ SR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49B5" w:rsidRPr="00B749B5" w:rsidRDefault="00B749B5" w:rsidP="00B749B5">
            <w:pPr>
              <w:spacing w:after="280" w:line="240" w:lineRule="auto"/>
              <w:ind w:left="728" w:hanging="72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MZ SR</w:t>
            </w:r>
          </w:p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  <w:t>2 000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2 000</w:t>
            </w:r>
          </w:p>
        </w:tc>
      </w:tr>
      <w:tr w:rsidR="00B749B5" w:rsidRPr="00B749B5" w:rsidTr="00334033">
        <w:trPr>
          <w:trHeight w:val="1478"/>
        </w:trPr>
        <w:tc>
          <w:tcPr>
            <w:tcW w:w="14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9B5" w:rsidRPr="00B749B5" w:rsidRDefault="00B749B5" w:rsidP="00B749B5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1.3. Podpora ORPHANET Slovensko</w:t>
            </w:r>
          </w:p>
        </w:tc>
        <w:tc>
          <w:tcPr>
            <w:tcW w:w="5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Rozširovanie využívania ORPHANETu v prostredí slovenského zdravotníctva </w:t>
            </w:r>
          </w:p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Analýza o rozsahu využívania ORPHANETu v klinickej praxi, propagácia, aktualizácia informácií dôležitých pre SR v kontexte s medzinárodným postavením ORPHANETu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ORPHANET Slovensko, MZ SR</w:t>
            </w: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MZ SR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3 000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3 000</w:t>
            </w:r>
          </w:p>
        </w:tc>
      </w:tr>
      <w:tr w:rsidR="00B749B5" w:rsidRPr="00B749B5" w:rsidTr="00334033">
        <w:trPr>
          <w:trHeight w:val="775"/>
        </w:trPr>
        <w:tc>
          <w:tcPr>
            <w:tcW w:w="14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9B5" w:rsidRPr="00B749B5" w:rsidRDefault="00B749B5" w:rsidP="00B749B5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1.4. Helpline ZCH pre pacientov - podľa</w:t>
            </w: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>smernice EP a ER 2011</w:t>
            </w:r>
          </w:p>
        </w:tc>
        <w:tc>
          <w:tcPr>
            <w:tcW w:w="5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9B5" w:rsidRPr="00B749B5" w:rsidRDefault="00B749B5" w:rsidP="00B749B5">
            <w:pPr>
              <w:spacing w:after="280" w:line="240" w:lineRule="auto"/>
              <w:ind w:left="21" w:hanging="2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Analýza implementácie</w:t>
            </w:r>
            <w:r w:rsidRPr="00B749B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Smernice </w:t>
            </w: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Európskeho parlamentu a Rady 2011/24/EÚ z 9. marca 2011 o uplatňovaní práv pacientov pri cezhraničnej zdravotnej starostlivosti (ďalej ako „Smernica“)</w:t>
            </w:r>
          </w:p>
          <w:p w:rsidR="00B749B5" w:rsidRPr="00B749B5" w:rsidRDefault="00B749B5" w:rsidP="00B749B5">
            <w:pPr>
              <w:spacing w:after="280" w:line="240" w:lineRule="auto"/>
              <w:ind w:left="21" w:hanging="2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Analytická správa o implementácii Smernice a asociovaných odporúčaniach EÚ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49B5" w:rsidRPr="00B749B5" w:rsidRDefault="00B749B5" w:rsidP="00B749B5">
            <w:pPr>
              <w:spacing w:after="280" w:line="240" w:lineRule="auto"/>
              <w:ind w:left="21" w:hanging="2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MZ SR, Úrad pre dohľad nad zdravotnou starostlivosťou, MZ SR</w:t>
            </w:r>
          </w:p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Komisia MZ SR pre ZCH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5 000 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5 000</w:t>
            </w:r>
          </w:p>
        </w:tc>
      </w:tr>
      <w:tr w:rsidR="00B749B5" w:rsidRPr="00B749B5" w:rsidTr="00334033">
        <w:trPr>
          <w:trHeight w:val="951"/>
        </w:trPr>
        <w:tc>
          <w:tcPr>
            <w:tcW w:w="1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lastRenderedPageBreak/>
              <w:t>2. Rozširovať</w:t>
            </w: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</w:r>
            <w:r w:rsidRPr="00B74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vzdelávanie</w:t>
            </w: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</w:r>
            <w:r w:rsidRPr="00B74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odbornej</w:t>
            </w: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</w:r>
            <w:r w:rsidRPr="00B74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verejnosti</w:t>
            </w: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</w:r>
            <w:r w:rsidRPr="00B74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o ZCH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2.1. Slovenská konferencia o zriedkavých chorobách</w:t>
            </w:r>
          </w:p>
        </w:tc>
        <w:tc>
          <w:tcPr>
            <w:tcW w:w="5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9B5" w:rsidRPr="00B749B5" w:rsidRDefault="00B749B5" w:rsidP="00B749B5">
            <w:pPr>
              <w:spacing w:after="280" w:line="240" w:lineRule="auto"/>
              <w:ind w:left="728" w:hanging="72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 10. slovenská konferencia o zriedkavých chorobách      2021</w:t>
            </w:r>
          </w:p>
          <w:p w:rsidR="00B749B5" w:rsidRPr="00B749B5" w:rsidRDefault="00B749B5" w:rsidP="00B749B5">
            <w:pPr>
              <w:spacing w:after="280" w:line="240" w:lineRule="auto"/>
              <w:ind w:left="728" w:hanging="72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2. 11. slovenská konferencia o zriedkavých chorobách      2022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Slovenská neurologická spoločnosť, MZ SR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9B5" w:rsidRPr="00B749B5" w:rsidRDefault="00B749B5" w:rsidP="00B749B5">
            <w:pPr>
              <w:spacing w:after="28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Odborné spoločnosti + Sponzori</w:t>
            </w: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8 000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8 000</w:t>
            </w:r>
          </w:p>
        </w:tc>
      </w:tr>
      <w:tr w:rsidR="00B749B5" w:rsidRPr="00B749B5" w:rsidTr="00334033">
        <w:trPr>
          <w:trHeight w:val="100"/>
        </w:trPr>
        <w:tc>
          <w:tcPr>
            <w:tcW w:w="14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9B5" w:rsidRPr="00B749B5" w:rsidRDefault="00B749B5" w:rsidP="00B749B5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2.2. Podpora implementácie</w:t>
            </w: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>vzdelávania v oblasti ZCH</w:t>
            </w: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</w:r>
          </w:p>
        </w:tc>
        <w:tc>
          <w:tcPr>
            <w:tcW w:w="5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9B5" w:rsidRPr="00B749B5" w:rsidRDefault="00B749B5" w:rsidP="00B749B5">
            <w:pPr>
              <w:spacing w:after="280" w:line="240" w:lineRule="auto"/>
              <w:ind w:left="21" w:hanging="2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 Vyhodnotenie skúseností s výučbou voliteľných predmetov „Patológia ZCH a Farmakológia ZCH“ zavedených do výučby v akademickom roku 2020/2021 na Farmaceutickej fakulte UK Bratislava</w:t>
            </w:r>
          </w:p>
          <w:p w:rsidR="00B749B5" w:rsidRPr="00B749B5" w:rsidRDefault="00B749B5" w:rsidP="00B749B5">
            <w:pPr>
              <w:spacing w:after="280" w:line="240" w:lineRule="auto"/>
              <w:ind w:left="21" w:hanging="2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Analytická správa o výsledkoch vzdelávania</w:t>
            </w:r>
          </w:p>
          <w:p w:rsidR="00B749B5" w:rsidRPr="00B749B5" w:rsidRDefault="00B749B5" w:rsidP="00B749B5">
            <w:pPr>
              <w:spacing w:after="280" w:line="240" w:lineRule="auto"/>
              <w:ind w:left="21" w:hanging="2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2. Podpora vzdelávania odbornej verejnosti (lekári, sestry, fyzioterapeuti, iní zdravotnícki pracovníci) v oblasti ZCH v spolupráci s odbornými spoločnosťami </w:t>
            </w:r>
          </w:p>
          <w:p w:rsidR="00B749B5" w:rsidRPr="00B749B5" w:rsidRDefault="00B749B5" w:rsidP="00B749B5">
            <w:pPr>
              <w:spacing w:after="280" w:line="240" w:lineRule="auto"/>
              <w:ind w:left="21" w:hanging="2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Analýza možností zaradenia problematiky ZCH do výučbových plánov niektorých vybraných špecializácií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Farmaceutická fakulta UK v Bratislave, MZ SR</w:t>
            </w: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Komisia MZ SR pre ZCH, Expertízne pracoviská,  MZ SR</w:t>
            </w: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Komisia MZ SR pre ZCH</w:t>
            </w: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Odbor ďalšieho vzdelávania MZ SR</w:t>
            </w: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Odborné spoločnosti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749B5" w:rsidRPr="00B749B5" w:rsidTr="00334033">
        <w:trPr>
          <w:trHeight w:val="100"/>
        </w:trPr>
        <w:tc>
          <w:tcPr>
            <w:tcW w:w="1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3. Rozširovať</w:t>
            </w: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</w:r>
            <w:r w:rsidRPr="00B74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skvalitňovať</w:t>
            </w: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</w:r>
            <w:r w:rsidRPr="00B74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diagnostiku,</w:t>
            </w: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</w:r>
            <w:r w:rsidRPr="00B74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liečbu a</w:t>
            </w: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</w:r>
            <w:r w:rsidRPr="00B74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starostlivosť</w:t>
            </w: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</w:r>
            <w:r w:rsidRPr="00B74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o pacientov</w:t>
            </w: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</w:r>
            <w:r w:rsidRPr="00B74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 ZCH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9B5" w:rsidRPr="00B749B5" w:rsidRDefault="00B749B5" w:rsidP="00B749B5">
            <w:pPr>
              <w:spacing w:after="28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3.1. Podpora </w:t>
            </w: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rozvoja pracovísk pre ZCH a rozvoja expertíznych </w:t>
            </w: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>pracovísk pre ZCH v SR</w:t>
            </w:r>
          </w:p>
        </w:tc>
        <w:tc>
          <w:tcPr>
            <w:tcW w:w="5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1. Zverejnenie informácie (na webe MZ SR) o otvorení Národného zoznamu pracovísk pre ZCH MZ za účelom možnosti zasielania žiadostí o zaradenie pracoviska/-ísk do Národného zoznamu pracovísk pre ZCH </w:t>
            </w:r>
          </w:p>
          <w:p w:rsidR="00B749B5" w:rsidRPr="00B749B5" w:rsidRDefault="00B749B5" w:rsidP="00B749B5">
            <w:pPr>
              <w:spacing w:after="28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Rozšírenie zoznamu na základe plnenia</w:t>
            </w: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sk-SK"/>
              </w:rPr>
              <w:t xml:space="preserve"> kritérií a postupu na vyhodnocovanie žiadostí o zaradenie poskytovateľa zdravotnej starostlivosti do Národného zoznamu pracovísk pre zriedkavé choroby v Slovenskej republike uverejnených v </w:t>
            </w:r>
            <w:r w:rsidRPr="00B749B5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bdr w:val="none" w:sz="0" w:space="0" w:color="auto" w:frame="1"/>
                <w:lang w:eastAsia="sk-SK"/>
              </w:rPr>
              <w:t>Metodickom postupe (aktualizácia 1. 4. 2018) Komisie Ministerstva zdravotníctva Slovenskej republiky pre zriedkavé choroby (Rare Diseases – RD) z 18. novembra 2015 (ďalej ako „kritériá“)</w:t>
            </w:r>
          </w:p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2. Verejná výzva na predkladanie žiadostí o poskytnutie dotácie MZ SR na podporu zdravia pacientov so zriedkavými chorobami v Slovenskej republike</w:t>
            </w:r>
          </w:p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Rozsah finančnej podpory/dotácií na rozvoj špecifických pracovísk</w:t>
            </w:r>
          </w:p>
          <w:p w:rsidR="00B749B5" w:rsidRPr="00B749B5" w:rsidRDefault="00B749B5" w:rsidP="00B749B5">
            <w:pPr>
              <w:spacing w:after="28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3. Definovať postavenie pracovísk aktívnych v ERN v systéme poskytovanej zdravotnej starostlivosti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49B5" w:rsidRPr="00B749B5" w:rsidRDefault="00B749B5" w:rsidP="00B749B5">
            <w:pPr>
              <w:spacing w:after="280" w:line="240" w:lineRule="auto"/>
              <w:ind w:left="21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MZ SR, Sekcia zdravia</w:t>
            </w:r>
          </w:p>
          <w:p w:rsidR="00B749B5" w:rsidRPr="00B749B5" w:rsidRDefault="00B749B5" w:rsidP="00B749B5">
            <w:pPr>
              <w:spacing w:after="280" w:line="240" w:lineRule="auto"/>
              <w:ind w:left="21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280" w:line="240" w:lineRule="auto"/>
              <w:ind w:left="21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280" w:line="240" w:lineRule="auto"/>
              <w:ind w:left="21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280" w:line="240" w:lineRule="auto"/>
              <w:ind w:left="21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MZ SR, Sekcia zdravia</w:t>
            </w:r>
          </w:p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MZ SR, Sekcia zdravia</w:t>
            </w: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Komisia MZ SR pre ZCH</w:t>
            </w: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Komisia MZ SR pre ZCH</w:t>
            </w: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Komisia MZ SR pre ZCH</w:t>
            </w: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100 000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100 000</w:t>
            </w:r>
          </w:p>
        </w:tc>
      </w:tr>
      <w:tr w:rsidR="00B749B5" w:rsidRPr="00B749B5" w:rsidTr="00334033">
        <w:trPr>
          <w:trHeight w:val="1406"/>
        </w:trPr>
        <w:tc>
          <w:tcPr>
            <w:tcW w:w="14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9B5" w:rsidRPr="00B749B5" w:rsidRDefault="00B749B5" w:rsidP="00B749B5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3.2. Dostupnosť kvalitnej</w:t>
            </w: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>liečby pre pacientov so ZCH</w:t>
            </w:r>
          </w:p>
        </w:tc>
        <w:tc>
          <w:tcPr>
            <w:tcW w:w="5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9B5" w:rsidRPr="00B749B5" w:rsidRDefault="00B749B5" w:rsidP="00B749B5">
            <w:pPr>
              <w:spacing w:after="0" w:line="240" w:lineRule="auto"/>
              <w:ind w:left="21" w:hanging="2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 Systematické monitorovanie novej liečby na ZCH prichádzajúcej na liekový trh v Európskej únii – horizon scanning</w:t>
            </w:r>
          </w:p>
          <w:p w:rsidR="00B749B5" w:rsidRPr="00B749B5" w:rsidRDefault="00B749B5" w:rsidP="00B749B5">
            <w:pPr>
              <w:spacing w:after="0" w:line="240" w:lineRule="auto"/>
              <w:ind w:left="21" w:hanging="2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749B5" w:rsidRPr="00B749B5" w:rsidRDefault="00B749B5" w:rsidP="00B749B5">
            <w:pPr>
              <w:shd w:val="clear" w:color="auto" w:fill="FFFFFF"/>
              <w:spacing w:after="28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Postup: ŠÚKL bude informovať MZ SR, sekciu farmácie a liekovej politiky o nových orphan liekoch (OMP) prichádzajúcich na trh. MZ SR bude tieto informácie využívať na lepšiu pripravenosť v rámci kategorizačného procesu a na zlepšenie starostlivosti o pacientov so zriedkavými chorobami</w:t>
            </w:r>
          </w:p>
          <w:p w:rsidR="00B749B5" w:rsidRPr="00B749B5" w:rsidRDefault="00B749B5" w:rsidP="00B749B5">
            <w:pPr>
              <w:shd w:val="clear" w:color="auto" w:fill="FFFFFF"/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Prítomnosť existujúceho mechanizmu pravidelnej komunikácie</w:t>
            </w:r>
          </w:p>
          <w:p w:rsidR="00B749B5" w:rsidRPr="00B749B5" w:rsidRDefault="00B749B5" w:rsidP="00B749B5">
            <w:pPr>
              <w:shd w:val="clear" w:color="auto" w:fill="FFFFFF"/>
              <w:spacing w:after="0" w:line="240" w:lineRule="auto"/>
              <w:ind w:left="1547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749B5" w:rsidRPr="00B749B5" w:rsidRDefault="00B749B5" w:rsidP="00B749B5">
            <w:pPr>
              <w:shd w:val="clear" w:color="auto" w:fill="FFFFFF"/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2. </w:t>
            </w:r>
            <w:r w:rsidRPr="00B74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Zvyšovanie dostupnosti farmakologickej liečby pre pacientov so ZCH v súlade s princípmi medicíny založenej na dôkazoch (EBM) a prahom nákladovej efektívnosti stanovenom v Slovenskej legislatíve a aktívneho využívania zmlúv o zdieľaní terapeutického rizika (Managed entry agreement)</w:t>
            </w:r>
          </w:p>
          <w:p w:rsidR="00B749B5" w:rsidRPr="00B749B5" w:rsidRDefault="00B749B5" w:rsidP="00B749B5">
            <w:pPr>
              <w:shd w:val="clear" w:color="auto" w:fill="FFFFFF"/>
              <w:spacing w:line="266" w:lineRule="atLeast"/>
              <w:ind w:right="48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Činnosť pracovnej skupiny MZ SR pre orphan drugs v spolupráci s OAHTA a SFLP na legislatívnych zmenách v oblasti zvyšovania dostupnosti liečby, programy skorého prístupu liečby nevynímajúc, za účasti:</w:t>
            </w:r>
          </w:p>
          <w:p w:rsidR="00B749B5" w:rsidRPr="00B749B5" w:rsidRDefault="00B749B5" w:rsidP="00B749B5">
            <w:pPr>
              <w:shd w:val="clear" w:color="auto" w:fill="FFFFFF"/>
              <w:spacing w:line="266" w:lineRule="atLeast"/>
              <w:ind w:right="48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A. zástupcov odbornej spoločnosti - lekárov so skúsenosťami so starostlivosťou o danú skupinu pacientov (medicínske posúdenie, definovanie skupiny pacientov, ktorá môže z liečby benefitovať, definovať účinnosť liečby), </w:t>
            </w:r>
          </w:p>
          <w:p w:rsidR="00B749B5" w:rsidRPr="00B749B5" w:rsidRDefault="00B749B5" w:rsidP="00B749B5">
            <w:pPr>
              <w:shd w:val="clear" w:color="auto" w:fill="FFFFFF"/>
              <w:spacing w:line="266" w:lineRule="atLeast"/>
              <w:ind w:right="48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lastRenderedPageBreak/>
              <w:t>B. zástupcov NCZI (epidemiologické dáta), </w:t>
            </w:r>
          </w:p>
          <w:p w:rsidR="00B749B5" w:rsidRPr="00B749B5" w:rsidRDefault="00B749B5" w:rsidP="00B74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C. zástupcov platcov,  </w:t>
            </w:r>
          </w:p>
          <w:p w:rsidR="00B749B5" w:rsidRPr="00B749B5" w:rsidRDefault="00B749B5" w:rsidP="00B74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D. zástupcov  MZ SR (analýza vplyvu na rozpočet), ŠÚKL zástupca COMP v EMA  </w:t>
            </w:r>
          </w:p>
          <w:p w:rsidR="00B749B5" w:rsidRPr="00B749B5" w:rsidRDefault="00B749B5" w:rsidP="00B74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E. zástupcov pacientov</w:t>
            </w:r>
          </w:p>
          <w:p w:rsidR="00B749B5" w:rsidRPr="00B749B5" w:rsidRDefault="00B749B5" w:rsidP="00B749B5">
            <w:pPr>
              <w:shd w:val="clear" w:color="auto" w:fill="FFFFFF"/>
              <w:spacing w:line="266" w:lineRule="atLeast"/>
              <w:ind w:right="48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Indikátory kvality: </w:t>
            </w: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zahraničné EBM odporúčania pre dané technológie, </w:t>
            </w: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liekov OMP na Slovenskom trhu - čas od registrácie OMP v Európe po vstup na slovenský trh - počet schválených pacientov na liečbu neregistrovaným liekom, počet liekov, ktoré stratili OMP štatút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9B5" w:rsidRPr="00B749B5" w:rsidRDefault="00B749B5" w:rsidP="00B749B5">
            <w:pPr>
              <w:spacing w:after="280" w:line="240" w:lineRule="auto"/>
              <w:ind w:left="21" w:hanging="2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ŠÚKL, MZ SR</w:t>
            </w:r>
          </w:p>
          <w:p w:rsidR="00B749B5" w:rsidRPr="00B749B5" w:rsidRDefault="00B749B5" w:rsidP="00B749B5">
            <w:pPr>
              <w:spacing w:after="280" w:line="240" w:lineRule="auto"/>
              <w:ind w:left="21" w:hanging="21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280" w:line="240" w:lineRule="auto"/>
              <w:ind w:left="21" w:hanging="2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280" w:line="240" w:lineRule="auto"/>
              <w:ind w:left="21" w:hanging="2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MZ SR</w:t>
            </w:r>
          </w:p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Komisia MZ SR pre ZCH, OL, SFLP, </w:t>
            </w: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MZ SR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9B5" w:rsidRPr="00B749B5" w:rsidRDefault="00B749B5" w:rsidP="00B749B5">
            <w:pPr>
              <w:spacing w:after="280" w:line="240" w:lineRule="auto"/>
              <w:ind w:left="21" w:hanging="2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Komisia MZ SR pre ZCH</w:t>
            </w:r>
          </w:p>
          <w:p w:rsidR="00B749B5" w:rsidRPr="00B749B5" w:rsidRDefault="00B749B5" w:rsidP="00B749B5">
            <w:pPr>
              <w:spacing w:after="280" w:line="240" w:lineRule="auto"/>
              <w:ind w:left="21" w:hanging="2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280" w:line="240" w:lineRule="auto"/>
              <w:ind w:left="21" w:hanging="2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280" w:line="240" w:lineRule="auto"/>
              <w:ind w:left="21" w:hanging="2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280" w:line="240" w:lineRule="auto"/>
              <w:ind w:left="21" w:hanging="2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Komisia MZ SR pre ZCH, OAHTA, SFLP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749B5" w:rsidRPr="00B749B5" w:rsidTr="00334033">
        <w:trPr>
          <w:trHeight w:val="100"/>
        </w:trPr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9B5" w:rsidRPr="00B749B5" w:rsidRDefault="00B749B5" w:rsidP="00B749B5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3.3. Implementácia nových technológií do klinickej praxe a </w:t>
            </w: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>diagnostiky ZCH</w:t>
            </w:r>
          </w:p>
        </w:tc>
        <w:tc>
          <w:tcPr>
            <w:tcW w:w="5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9B5" w:rsidRPr="00B749B5" w:rsidRDefault="00B749B5" w:rsidP="00B749B5">
            <w:pPr>
              <w:spacing w:after="280" w:line="240" w:lineRule="auto"/>
              <w:ind w:left="21" w:hanging="19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 Vypracovanie odborného usmernenia pre odbor lekárskej genetiky k používaniu NGS, indikovaniu panelového sekvenovania génov, celoexómového a celogenómového sekvenovania v klinickej praxi</w:t>
            </w:r>
          </w:p>
          <w:p w:rsidR="00B749B5" w:rsidRPr="00B749B5" w:rsidRDefault="00B749B5" w:rsidP="00B749B5">
            <w:pPr>
              <w:spacing w:after="280" w:line="240" w:lineRule="auto"/>
              <w:ind w:left="21" w:hanging="19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Štandardný diagnosticko-terapeutický postup </w:t>
            </w:r>
          </w:p>
          <w:p w:rsidR="00B749B5" w:rsidRPr="00B749B5" w:rsidRDefault="00B749B5" w:rsidP="00B749B5">
            <w:pPr>
              <w:shd w:val="clear" w:color="auto" w:fill="FFFFFF" w:themeFill="background1"/>
              <w:spacing w:after="280" w:line="240" w:lineRule="auto"/>
              <w:ind w:left="21" w:hanging="19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2. Zavedenie pravidelných konzultácií pre indikovanie a financovanie výkonov v lekárskej genetike, s cieľom zabezpečiť koordinované poskytovanie zdravotnej starostlivosti v odbore lekárskej genetiky, za účasti: 3 zdravotných poisťovní, Slovenskej spoločnosti lekárskej genetiky, HO pre lekársku genetiku a MZ SR - Sekcia zdravia.</w:t>
            </w:r>
          </w:p>
          <w:p w:rsidR="00B749B5" w:rsidRPr="00B749B5" w:rsidRDefault="00B749B5" w:rsidP="00B749B5">
            <w:pPr>
              <w:spacing w:after="280" w:line="240" w:lineRule="auto"/>
              <w:ind w:left="21" w:hanging="19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Kontinuálne riešenie problematiky poskytovania správnej laboratórnej genetickej diagnostiky</w:t>
            </w:r>
          </w:p>
          <w:p w:rsidR="00B749B5" w:rsidRPr="00B749B5" w:rsidRDefault="00B749B5" w:rsidP="00B749B5">
            <w:pPr>
              <w:spacing w:after="280" w:line="240" w:lineRule="auto"/>
              <w:ind w:left="21" w:hanging="19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3. Podpora implementácie nového Zoznamu zdravotných výkonov v oblasti špeciálnych biochemicko-genetických zdravotných výkonov pre dedičné metabolické poruchy</w:t>
            </w:r>
          </w:p>
          <w:p w:rsidR="00B749B5" w:rsidRPr="00B749B5" w:rsidRDefault="00B749B5" w:rsidP="00B749B5">
            <w:pPr>
              <w:spacing w:after="280" w:line="240" w:lineRule="auto"/>
              <w:ind w:left="21" w:hanging="19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Realizácia vypracovaného ZZV v klinickej praxi v špecifickej oblasti klinickej biochémie – biochemická</w:t>
            </w:r>
            <w:r w:rsidR="002804C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imunologická</w:t>
            </w: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 genetická diagnostika DMP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9B5" w:rsidRPr="00B749B5" w:rsidRDefault="00B749B5" w:rsidP="00B749B5">
            <w:pPr>
              <w:spacing w:after="280" w:line="240" w:lineRule="auto"/>
              <w:ind w:left="21" w:hanging="19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Slovenská spoločnosť lekárskej genetiky SLS,  MZ SR</w:t>
            </w:r>
          </w:p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MZ SR – sekcia zdravia a iné príslušné sekcie</w:t>
            </w:r>
          </w:p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MZ SR – sekcia zdravia, tvorba ZZV</w:t>
            </w:r>
          </w:p>
          <w:p w:rsidR="00B749B5" w:rsidRPr="00B749B5" w:rsidRDefault="00B749B5" w:rsidP="00B749B5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9B5" w:rsidRPr="00B749B5" w:rsidRDefault="00B749B5" w:rsidP="00B749B5">
            <w:pPr>
              <w:spacing w:after="280" w:line="240" w:lineRule="auto"/>
              <w:ind w:left="21" w:hanging="19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MZ SR – OŠKP</w:t>
            </w: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Združenie zdravotných poisťovní/ jednotlivé ZP, Slovenská spoločnosť lekárskej genetiky SLS, Hlavný odborník</w:t>
            </w: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Spoločnosť klinickej biochémie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749B5" w:rsidRPr="00B749B5" w:rsidTr="00334033">
        <w:trPr>
          <w:trHeight w:val="1256"/>
        </w:trPr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9B5" w:rsidRPr="00B749B5" w:rsidRDefault="00B749B5" w:rsidP="00B749B5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4. Skríning a</w:t>
            </w: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</w:r>
            <w:r w:rsidRPr="00B74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prevencia ZCH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4.1. Rozšírenie a skvalitnenie selektívneho skríningu u novorodencov v SR</w:t>
            </w: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</w:r>
          </w:p>
        </w:tc>
        <w:tc>
          <w:tcPr>
            <w:tcW w:w="5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Pilotná štúdia skríningu imunodeficiencie (SCID) a spinálnej muskulárnej atrofie (SMA). Skorá detekcia fetálneho alkoholového syndrómu stanovením fosfatidyletanolu v suchej kvapke krvi. Príprava štúdie možnosti detekcie galaktozémie.</w:t>
            </w: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Rozšírenie počtu skrínovaných chorôb u novorodencov</w:t>
            </w: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SCN SR Banská Bystrica,  MZ SR</w:t>
            </w: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MZ SR - Sekcia zdravia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100 000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  <w:t>50 000</w:t>
            </w:r>
          </w:p>
        </w:tc>
      </w:tr>
      <w:tr w:rsidR="00B749B5" w:rsidRPr="00B749B5" w:rsidTr="00334033">
        <w:trPr>
          <w:trHeight w:val="100"/>
        </w:trPr>
        <w:tc>
          <w:tcPr>
            <w:tcW w:w="1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5. Podpora vedy</w:t>
            </w: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</w:r>
            <w:r w:rsidRPr="00B74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výskumu</w:t>
            </w: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</w:r>
            <w:r w:rsidRPr="00B74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oblasti ZCH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5.1. Rezortný výskum v oblasti ZCH </w:t>
            </w:r>
          </w:p>
        </w:tc>
        <w:tc>
          <w:tcPr>
            <w:tcW w:w="5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9B5" w:rsidRPr="00B749B5" w:rsidRDefault="00B749B5" w:rsidP="00B74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9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Nové prístupy k diagnostike porúch metabolizmu glykokonjugátov (GlycoRARE), </w:t>
            </w: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Identifikačné číslo projektu: </w:t>
            </w:r>
            <w:r w:rsidRPr="00B749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2019/7-CHÚ SAV-4 </w:t>
            </w: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</w:rPr>
              <w:t>riešiteľ Chemický ústav SAV</w:t>
            </w:r>
          </w:p>
          <w:p w:rsidR="00B749B5" w:rsidRPr="00B749B5" w:rsidRDefault="00B749B5" w:rsidP="00B749B5">
            <w:pPr>
              <w:spacing w:after="280" w:line="240" w:lineRule="auto"/>
              <w:ind w:left="21" w:hanging="2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Projekt prebieha, ukončenie 12/2022, dotácia z MZSR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Chemický ústav SAV</w:t>
            </w: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NÚDCH,  MZ SR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MZ SR</w:t>
            </w: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10 000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10 000</w:t>
            </w:r>
          </w:p>
        </w:tc>
      </w:tr>
      <w:tr w:rsidR="00B749B5" w:rsidRPr="00B749B5" w:rsidTr="00334033">
        <w:trPr>
          <w:trHeight w:val="100"/>
        </w:trPr>
        <w:tc>
          <w:tcPr>
            <w:tcW w:w="14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9B5" w:rsidRPr="00B749B5" w:rsidRDefault="00B749B5" w:rsidP="00B749B5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5.2. Národná podpora vedy a výskumu v oblasti ZCH</w:t>
            </w:r>
          </w:p>
        </w:tc>
        <w:tc>
          <w:tcPr>
            <w:tcW w:w="5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Zapojenie MZ SR</w:t>
            </w:r>
            <w:r w:rsidRPr="00B749B5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 xml:space="preserve"> (Sekcia európskych programov a projektov) </w:t>
            </w: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do príprav EU Partnership on Rare Diseases, ako budúceho riadneho partnera projektu reprezentujúceho SR  </w:t>
            </w: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Identifikácia možnosti zapojenia do projektu, zistenie príslušných subjektov, ktoré sa majú zúčastniť a aká má byť konkrétna účasť</w:t>
            </w: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cs-CZ" w:eastAsia="cs-CZ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9B5" w:rsidRPr="00B749B5" w:rsidRDefault="00B749B5" w:rsidP="00B749B5">
            <w:pPr>
              <w:spacing w:after="280" w:line="240" w:lineRule="auto"/>
              <w:ind w:left="21" w:hanging="19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MZ SR, Sekcia európskych programov a projektov</w:t>
            </w: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Komisia MZ SR pre ZCH, SAV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2 000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2 000</w:t>
            </w:r>
          </w:p>
        </w:tc>
      </w:tr>
      <w:tr w:rsidR="00B749B5" w:rsidRPr="00B749B5" w:rsidTr="00334033">
        <w:trPr>
          <w:trHeight w:val="100"/>
        </w:trPr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6. Zber údajov</w:t>
            </w: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</w:r>
            <w:r w:rsidRPr="00B74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o pacientoch so ZCH, vytvorenie „Virtuálneho registra ZCH“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6.1. Projekt „Virtuálneho</w:t>
            </w: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>registra zriedkavých chorôb“ ,spolupráca NCZI a odborných spoločností</w:t>
            </w:r>
          </w:p>
        </w:tc>
        <w:tc>
          <w:tcPr>
            <w:tcW w:w="5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 Analýza situácie v registroch ZCH u doteraz nezapojených poskytovateľov, s cieľom hľadať možnosti sumovania epidemiologických údajov o pacientoch so ZCH v SR.</w:t>
            </w:r>
          </w:p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Analýza spôsobu využitia všetkých registrov a štatistických údajov v prostredí NCZI na získanie kvalitnejších údajov o epidemiológii ZCH v </w:t>
            </w: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SR, vrátane finančne udržateľnej činnosti analytikov – odborníkov z radov lekárov-špecialistov, v nadväznosti na úlohu 6.1.1.</w:t>
            </w:r>
          </w:p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2. Analýza prínosu MKCH11 do možností identifikácie ZCH v hláseniach do NCZI</w:t>
            </w:r>
          </w:p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MKCH 11 umožňuje pravdepodobne identifikáciu cca 5400 ZCH, úloha je zameraná na identifikáciu možností využitia pre sledovanie štatistiky ZCH priamo </w:t>
            </w:r>
          </w:p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3. Zapojenie NCZI do </w:t>
            </w:r>
            <w:hyperlink r:id="rId7">
              <w:r w:rsidRPr="00B749B5">
                <w:rPr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European Platform on Rare Diseases Registration</w:t>
              </w:r>
            </w:hyperlink>
          </w:p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Prítomnosť slovenského zástupcu NCZI v European Platform on Rare Diseases Registration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NCZI,  MZ SR</w:t>
            </w: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MZ SR</w:t>
            </w: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sk-SK"/>
              </w:rPr>
            </w:pPr>
          </w:p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MZ SR</w:t>
            </w: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Odborné spoločnosti</w:t>
            </w: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NCZI, Komisia MZ SR pre ZCH </w:t>
            </w: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NCZI</w:t>
            </w: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749B5" w:rsidRPr="00B749B5" w:rsidTr="00334033">
        <w:trPr>
          <w:trHeight w:val="1104"/>
        </w:trPr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7. Starostlivosť</w:t>
            </w: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</w:r>
            <w:r w:rsidRPr="00B74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o kvalitu života</w:t>
            </w: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</w:r>
            <w:r w:rsidRPr="00B74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sociálne</w:t>
            </w: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</w:r>
            <w:r w:rsidRPr="00B74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začlenenie</w:t>
            </w: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</w:r>
            <w:r w:rsidRPr="00B74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pacientov so</w:t>
            </w: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</w:r>
            <w:r w:rsidRPr="00B74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ZCH 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7.1.</w:t>
            </w:r>
            <w:r w:rsidRPr="00B74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Medzirezortná</w:t>
            </w: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</w:r>
            <w:r w:rsidRPr="00B74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spolupráca v</w:t>
            </w: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</w:r>
            <w:r w:rsidRPr="00B74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problematike</w:t>
            </w: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</w:r>
            <w:r w:rsidRPr="00B74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ZCH</w:t>
            </w:r>
          </w:p>
        </w:tc>
        <w:tc>
          <w:tcPr>
            <w:tcW w:w="5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9B5" w:rsidRPr="00B749B5" w:rsidRDefault="00B749B5" w:rsidP="00B749B5">
            <w:pPr>
              <w:spacing w:after="280" w:line="240" w:lineRule="auto"/>
              <w:ind w:left="728" w:hanging="72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 Nadviazanie spolupráce s Ministerstvom práce, sociálnych vecí a rodiny v SR</w:t>
            </w:r>
          </w:p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Obsah: v predchádzajúcom období NP 2016-2020 bola komunikácia o sociálnych aspektoch života pacientov so ZCH zo strany Ministerstva sociálnych vecí odmietnutá, ide o snahu zadefinovať spoločné témy  </w:t>
            </w:r>
          </w:p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9B5" w:rsidRPr="00B749B5" w:rsidRDefault="00B749B5" w:rsidP="00B749B5">
            <w:pPr>
              <w:spacing w:after="280" w:line="240" w:lineRule="auto"/>
              <w:ind w:left="728" w:hanging="72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MZ SR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Komisia MZ SR pre ZCH</w:t>
            </w: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MPSVaR SR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749B5" w:rsidRPr="00B749B5" w:rsidTr="00334033">
        <w:trPr>
          <w:trHeight w:val="1104"/>
        </w:trPr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8. Komisia MZ SR pre ZCH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8.1. Úlohy komisie MZ SR pre ZCH na roky 2021-2022</w:t>
            </w:r>
          </w:p>
        </w:tc>
        <w:tc>
          <w:tcPr>
            <w:tcW w:w="5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 Implementácia záverov iniciatívy RARE 2030 do Národného programu starostlivosti o pacientov so ZCH do roku 2030, aktualizácia Akčného plánu na roky 2021 a 2022 a jeho napĺňanie, personálne doplnenie a obmena personálu</w:t>
            </w:r>
          </w:p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Vyhodnotenie činnosti na ročnej báze</w:t>
            </w:r>
          </w:p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2. Podpora účasti národných zástupcov na činnosti najdôležitejších organizácií v európskych projektoch pre zriedkavé choroby</w:t>
            </w:r>
          </w:p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Zoznam organizácií v ktorých má/požaduje SR zastúpenie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70" w:type="dxa"/>
              <w:right w:w="57" w:type="dxa"/>
            </w:tcMar>
          </w:tcPr>
          <w:p w:rsidR="00B749B5" w:rsidRPr="00B749B5" w:rsidRDefault="00B749B5" w:rsidP="00B749B5">
            <w:pPr>
              <w:spacing w:after="0" w:line="240" w:lineRule="auto"/>
              <w:ind w:left="-1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Komisia MZ SR pre ZCH,  MZ SR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9B5" w:rsidRPr="00B749B5" w:rsidRDefault="00B749B5" w:rsidP="00B749B5">
            <w:pPr>
              <w:spacing w:after="280" w:line="240" w:lineRule="auto"/>
              <w:ind w:left="728" w:hanging="72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Komisia MZ SR pre ZCH</w:t>
            </w: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749B5" w:rsidRPr="00B749B5" w:rsidTr="00334033">
        <w:trPr>
          <w:trHeight w:val="1002"/>
        </w:trPr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9. Zahraničná</w:t>
            </w: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</w:r>
            <w:r w:rsidRPr="00B74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spolupráca v</w:t>
            </w: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</w:r>
            <w:r w:rsidRPr="00B74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oblasti ZCH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9.1. Podpora pracovísk pre ZCH za účelom zapojenia do ERN alebo podpory činnosti pracovísk zapojených do ERN</w:t>
            </w:r>
          </w:p>
          <w:p w:rsidR="00C67B4F" w:rsidRPr="00B749B5" w:rsidRDefault="00C67B4F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9B5" w:rsidRPr="00B749B5" w:rsidRDefault="00B749B5" w:rsidP="00B749B5">
            <w:pPr>
              <w:ind w:lef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</w:rPr>
              <w:t>1. .Workshop zástupcov pracovísk zapojených do ERN a pracovísk pre ZCH v SR</w:t>
            </w:r>
          </w:p>
          <w:p w:rsidR="00B749B5" w:rsidRPr="00B749B5" w:rsidRDefault="00B749B5" w:rsidP="00B749B5">
            <w:pPr>
              <w:ind w:lef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Identifikácia potrieb pre rozvoj pracovísk pre ZCH a pracovísk zapojených do ERN </w:t>
            </w:r>
          </w:p>
          <w:p w:rsidR="00B749B5" w:rsidRPr="00B749B5" w:rsidRDefault="00B749B5" w:rsidP="00B749B5">
            <w:pPr>
              <w:ind w:lef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49B5" w:rsidRPr="00B749B5" w:rsidRDefault="00B749B5" w:rsidP="00B749B5">
            <w:pPr>
              <w:ind w:lef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Komisia MZ SR pre ZCH,  MZ SR</w:t>
            </w:r>
          </w:p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Zástupcovia pracovísk v ERN</w:t>
            </w: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5 000</w:t>
            </w: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B74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5 000</w:t>
            </w: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B749B5" w:rsidRPr="00B749B5" w:rsidRDefault="00B749B5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</w:tr>
      <w:tr w:rsidR="00C67B4F" w:rsidRPr="00B749B5" w:rsidTr="00334033">
        <w:trPr>
          <w:trHeight w:val="1002"/>
        </w:trPr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7B4F" w:rsidRPr="00B749B5" w:rsidRDefault="00C67B4F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B4F" w:rsidRPr="00B749B5" w:rsidRDefault="00C67B4F" w:rsidP="00C67B4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9.2 Podpora medzinárodnej spolupráce v oblasti ZCH</w:t>
            </w:r>
          </w:p>
        </w:tc>
        <w:tc>
          <w:tcPr>
            <w:tcW w:w="5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FC7" w:rsidRDefault="00B61FC7" w:rsidP="00B61FC7">
            <w:pPr>
              <w:spacing w:after="280" w:line="240" w:lineRule="auto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 w:rsidRPr="00B61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 xml:space="preserve">Definovať pojem „klinická užitočnosť“ (clinical utility) v medzinárodnom kontexte </w:t>
            </w:r>
          </w:p>
          <w:p w:rsidR="00B61FC7" w:rsidRDefault="00B61FC7" w:rsidP="00B61FC7">
            <w:pPr>
              <w:spacing w:after="280" w:line="240" w:lineRule="auto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 w:rsidRPr="00B61FC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Forma: rešerše liter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atúry (medzinárodných databáz)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br/>
            </w:r>
            <w:r w:rsidRPr="00B61FC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Výstup: odporúčanie pre Komisiu pre ŠDTP</w:t>
            </w:r>
          </w:p>
          <w:p w:rsidR="00B61FC7" w:rsidRPr="00B61FC7" w:rsidRDefault="00B61FC7" w:rsidP="00B61FC7">
            <w:pPr>
              <w:spacing w:after="280" w:line="240" w:lineRule="auto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 w:rsidRPr="00B61FC7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sk-SK"/>
              </w:rPr>
              <w:t>Odôvodnenie:</w:t>
            </w:r>
            <w:r w:rsidRPr="00B61FC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je zrejmé, že pacienti majú legitímny záujem na získaní prístupu ku službám, o ktorých sa domnievajú, že prinášajú dobrú hodnotu za peniaze a tým by mali mať aj voľnosť použiť svoje prostriedky týmto spôsobom. Je však otázne, či platca za zdravotnú starostlivosť  (= tretia strana) má mať povinnosť platiť za tieto služby, ak u nich chýba preukázateľný dopad na zdravotný stav osoby a možnosť jeho ďalšieho ovplyvnenia.</w:t>
            </w:r>
          </w:p>
          <w:p w:rsidR="00B61FC7" w:rsidRDefault="00B61FC7" w:rsidP="00B61FC7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sk-SK"/>
              </w:rPr>
            </w:pPr>
            <w:r w:rsidRPr="00B61FC7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sk-SK"/>
              </w:rPr>
              <w:t>Príklady zdrojov:</w:t>
            </w:r>
          </w:p>
          <w:p w:rsidR="00B61FC7" w:rsidRPr="00B61FC7" w:rsidRDefault="00B61FC7" w:rsidP="00B61FC7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sk-SK"/>
              </w:rPr>
            </w:pPr>
            <w:r w:rsidRPr="00B61FC7"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0"/>
                <w:szCs w:val="20"/>
                <w:lang w:eastAsia="sk-SK"/>
              </w:rPr>
              <w:t>What is the clinical utility of genetic testing?</w:t>
            </w:r>
          </w:p>
          <w:p w:rsidR="00B61FC7" w:rsidRPr="00B61FC7" w:rsidRDefault="004F2B2B" w:rsidP="00B61FC7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0" w:line="240" w:lineRule="auto"/>
              <w:jc w:val="left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hyperlink r:id="rId8" w:history="1">
              <w:r w:rsidR="00B61FC7" w:rsidRPr="00B61FC7">
                <w:rPr>
                  <w:rFonts w:ascii="Times New Roman" w:hAnsi="Times New Roman" w:cs="Times New Roman"/>
                  <w:color w:val="006699"/>
                  <w:sz w:val="20"/>
                  <w:szCs w:val="20"/>
                  <w:u w:val="single"/>
                </w:rPr>
                <w:t>Scott D Grosse</w:t>
              </w:r>
            </w:hyperlink>
            <w:r w:rsidR="00B61FC7" w:rsidRPr="00B61FC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 &amp; </w:t>
            </w:r>
          </w:p>
          <w:p w:rsidR="00B61FC7" w:rsidRPr="00B61FC7" w:rsidRDefault="004F2B2B" w:rsidP="00B61FC7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0" w:line="240" w:lineRule="auto"/>
              <w:jc w:val="left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hyperlink r:id="rId9" w:history="1">
              <w:r w:rsidR="00B61FC7" w:rsidRPr="00B61FC7">
                <w:rPr>
                  <w:rFonts w:ascii="Times New Roman" w:hAnsi="Times New Roman" w:cs="Times New Roman"/>
                  <w:color w:val="006699"/>
                  <w:sz w:val="20"/>
                  <w:szCs w:val="20"/>
                  <w:u w:val="single"/>
                </w:rPr>
                <w:t>Muin J Khoury</w:t>
              </w:r>
            </w:hyperlink>
            <w:r w:rsidR="00B61FC7" w:rsidRPr="00B61FC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 </w:t>
            </w:r>
          </w:p>
          <w:p w:rsidR="00B61FC7" w:rsidRPr="00B61FC7" w:rsidRDefault="004F2B2B" w:rsidP="00B61FC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563C1" w:themeColor="hyperlink"/>
                <w:sz w:val="20"/>
                <w:szCs w:val="20"/>
                <w:u w:val="single"/>
                <w:lang w:eastAsia="sk-SK"/>
              </w:rPr>
            </w:pPr>
            <w:hyperlink r:id="rId10" w:history="1">
              <w:r w:rsidR="00B61FC7" w:rsidRPr="00B61FC7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sk-SK"/>
                </w:rPr>
                <w:t>https://www.nature.com/articles/gim200677</w:t>
              </w:r>
            </w:hyperlink>
          </w:p>
          <w:p w:rsidR="00B61FC7" w:rsidRPr="00B61FC7" w:rsidRDefault="00B61FC7" w:rsidP="00B61FC7">
            <w:pPr>
              <w:shd w:val="clear" w:color="auto" w:fill="FFFFFF"/>
              <w:spacing w:beforeAutospacing="1" w:after="0" w:line="240" w:lineRule="auto"/>
              <w:jc w:val="lef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2A2A2A"/>
                <w:kern w:val="36"/>
                <w:sz w:val="20"/>
                <w:szCs w:val="20"/>
                <w:lang w:eastAsia="sk-SK"/>
              </w:rPr>
            </w:pPr>
            <w:r w:rsidRPr="00B61FC7">
              <w:rPr>
                <w:rFonts w:ascii="Times New Roman" w:eastAsia="Times New Roman" w:hAnsi="Times New Roman" w:cs="Times New Roman"/>
                <w:b/>
                <w:bCs/>
                <w:color w:val="2A2A2A"/>
                <w:kern w:val="36"/>
                <w:sz w:val="20"/>
                <w:szCs w:val="20"/>
                <w:lang w:eastAsia="sk-SK"/>
              </w:rPr>
              <w:t>Genetic Test Evaluation: Information Needs of Clinicians, Policy Makers, and the Public </w:t>
            </w:r>
          </w:p>
          <w:p w:rsidR="00B61FC7" w:rsidRDefault="004F2B2B" w:rsidP="00B61FC7">
            <w:pPr>
              <w:spacing w:after="0"/>
              <w:ind w:left="-117"/>
              <w:rPr>
                <w:rFonts w:ascii="Times New Roman" w:hAnsi="Times New Roman" w:cs="Times New Roman"/>
                <w:color w:val="2A2A2A"/>
                <w:sz w:val="20"/>
                <w:szCs w:val="20"/>
                <w:u w:val="single"/>
                <w:bdr w:val="none" w:sz="0" w:space="0" w:color="auto" w:frame="1"/>
              </w:rPr>
            </w:pPr>
            <w:hyperlink r:id="rId11" w:history="1">
              <w:r w:rsidR="00B61FC7" w:rsidRPr="00B61FC7">
                <w:rPr>
                  <w:rFonts w:ascii="Times New Roman" w:hAnsi="Times New Roman" w:cs="Times New Roman"/>
                  <w:color w:val="006FB7"/>
                  <w:sz w:val="20"/>
                  <w:szCs w:val="20"/>
                  <w:u w:val="single"/>
                  <w:bdr w:val="none" w:sz="0" w:space="0" w:color="auto" w:frame="1"/>
                </w:rPr>
                <w:t>Wylie Burke</w:t>
              </w:r>
            </w:hyperlink>
            <w:r w:rsidR="00B61FC7" w:rsidRPr="00B61FC7">
              <w:rPr>
                <w:rFonts w:ascii="Times New Roman" w:hAnsi="Times New Roman" w:cs="Times New Roman"/>
                <w:color w:val="2A2A2A"/>
                <w:sz w:val="20"/>
                <w:szCs w:val="20"/>
                <w:bdr w:val="none" w:sz="0" w:space="0" w:color="auto" w:frame="1"/>
              </w:rPr>
              <w:t>,</w:t>
            </w:r>
            <w:r w:rsidR="00B61FC7" w:rsidRPr="00B61FC7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 </w:t>
            </w:r>
            <w:hyperlink r:id="rId12" w:history="1">
              <w:r w:rsidR="00B61FC7" w:rsidRPr="00B61FC7">
                <w:rPr>
                  <w:rFonts w:ascii="Times New Roman" w:hAnsi="Times New Roman" w:cs="Times New Roman"/>
                  <w:color w:val="006FB7"/>
                  <w:sz w:val="20"/>
                  <w:szCs w:val="20"/>
                  <w:u w:val="single"/>
                  <w:bdr w:val="none" w:sz="0" w:space="0" w:color="auto" w:frame="1"/>
                </w:rPr>
                <w:t>David Atkins</w:t>
              </w:r>
            </w:hyperlink>
            <w:r w:rsidR="00B61FC7" w:rsidRPr="00B61FC7">
              <w:rPr>
                <w:rFonts w:ascii="Times New Roman" w:hAnsi="Times New Roman" w:cs="Times New Roman"/>
                <w:color w:val="2A2A2A"/>
                <w:sz w:val="20"/>
                <w:szCs w:val="20"/>
                <w:bdr w:val="none" w:sz="0" w:space="0" w:color="auto" w:frame="1"/>
              </w:rPr>
              <w:t>,</w:t>
            </w:r>
            <w:r w:rsidR="00B61FC7" w:rsidRPr="00B61FC7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 </w:t>
            </w:r>
            <w:hyperlink r:id="rId13" w:history="1">
              <w:r w:rsidR="00B61FC7" w:rsidRPr="00B61FC7">
                <w:rPr>
                  <w:rFonts w:ascii="Times New Roman" w:hAnsi="Times New Roman" w:cs="Times New Roman"/>
                  <w:color w:val="006FB7"/>
                  <w:sz w:val="20"/>
                  <w:szCs w:val="20"/>
                  <w:u w:val="single"/>
                  <w:bdr w:val="none" w:sz="0" w:space="0" w:color="auto" w:frame="1"/>
                </w:rPr>
                <w:t>Marta Gwinn</w:t>
              </w:r>
            </w:hyperlink>
            <w:r w:rsidR="00B61FC7" w:rsidRPr="00B61FC7">
              <w:rPr>
                <w:rFonts w:ascii="Times New Roman" w:hAnsi="Times New Roman" w:cs="Times New Roman"/>
                <w:color w:val="2A2A2A"/>
                <w:sz w:val="20"/>
                <w:szCs w:val="20"/>
                <w:bdr w:val="none" w:sz="0" w:space="0" w:color="auto" w:frame="1"/>
              </w:rPr>
              <w:t>,</w:t>
            </w:r>
            <w:r w:rsidR="00B61FC7" w:rsidRPr="00B61FC7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 </w:t>
            </w:r>
            <w:hyperlink r:id="rId14" w:history="1">
              <w:r w:rsidR="00B61FC7" w:rsidRPr="00B61FC7">
                <w:rPr>
                  <w:rFonts w:ascii="Times New Roman" w:hAnsi="Times New Roman" w:cs="Times New Roman"/>
                  <w:color w:val="006FB7"/>
                  <w:sz w:val="20"/>
                  <w:szCs w:val="20"/>
                  <w:u w:val="single"/>
                  <w:bdr w:val="none" w:sz="0" w:space="0" w:color="auto" w:frame="1"/>
                </w:rPr>
                <w:t>Alan Guttmacher</w:t>
              </w:r>
            </w:hyperlink>
            <w:r w:rsidR="00B61FC7" w:rsidRPr="00B61FC7">
              <w:rPr>
                <w:rFonts w:ascii="Times New Roman" w:hAnsi="Times New Roman" w:cs="Times New Roman"/>
                <w:color w:val="2A2A2A"/>
                <w:sz w:val="20"/>
                <w:szCs w:val="20"/>
                <w:bdr w:val="none" w:sz="0" w:space="0" w:color="auto" w:frame="1"/>
              </w:rPr>
              <w:t>,</w:t>
            </w:r>
            <w:r w:rsidR="00B61FC7" w:rsidRPr="00B61FC7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 </w:t>
            </w:r>
            <w:hyperlink r:id="rId15" w:history="1">
              <w:r w:rsidR="00B61FC7" w:rsidRPr="00B61FC7">
                <w:rPr>
                  <w:rFonts w:ascii="Times New Roman" w:hAnsi="Times New Roman" w:cs="Times New Roman"/>
                  <w:color w:val="006FB7"/>
                  <w:sz w:val="20"/>
                  <w:szCs w:val="20"/>
                  <w:u w:val="single"/>
                  <w:bdr w:val="none" w:sz="0" w:space="0" w:color="auto" w:frame="1"/>
                </w:rPr>
                <w:t>James Haddow</w:t>
              </w:r>
            </w:hyperlink>
            <w:r w:rsidR="00B61FC7" w:rsidRPr="00B61FC7">
              <w:rPr>
                <w:rFonts w:ascii="Times New Roman" w:hAnsi="Times New Roman" w:cs="Times New Roman"/>
                <w:color w:val="2A2A2A"/>
                <w:sz w:val="20"/>
                <w:szCs w:val="20"/>
                <w:bdr w:val="none" w:sz="0" w:space="0" w:color="auto" w:frame="1"/>
              </w:rPr>
              <w:t>,</w:t>
            </w:r>
            <w:r w:rsidR="00B61FC7" w:rsidRPr="00B61FC7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 </w:t>
            </w:r>
            <w:hyperlink r:id="rId16" w:history="1">
              <w:r w:rsidR="00B61FC7" w:rsidRPr="00B61FC7">
                <w:rPr>
                  <w:rFonts w:ascii="Times New Roman" w:hAnsi="Times New Roman" w:cs="Times New Roman"/>
                  <w:color w:val="006FB7"/>
                  <w:sz w:val="20"/>
                  <w:szCs w:val="20"/>
                  <w:u w:val="single"/>
                  <w:bdr w:val="none" w:sz="0" w:space="0" w:color="auto" w:frame="1"/>
                </w:rPr>
                <w:t>Joseph Lau</w:t>
              </w:r>
            </w:hyperlink>
            <w:r w:rsidR="00B61FC7" w:rsidRPr="00B61FC7">
              <w:rPr>
                <w:rFonts w:ascii="Times New Roman" w:hAnsi="Times New Roman" w:cs="Times New Roman"/>
                <w:color w:val="2A2A2A"/>
                <w:sz w:val="20"/>
                <w:szCs w:val="20"/>
                <w:bdr w:val="none" w:sz="0" w:space="0" w:color="auto" w:frame="1"/>
              </w:rPr>
              <w:t>,</w:t>
            </w:r>
            <w:r w:rsidR="00B61FC7" w:rsidRPr="00B61FC7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 </w:t>
            </w:r>
            <w:hyperlink r:id="rId17" w:history="1">
              <w:r w:rsidR="00B61FC7" w:rsidRPr="00B61FC7">
                <w:rPr>
                  <w:rFonts w:ascii="Times New Roman" w:hAnsi="Times New Roman" w:cs="Times New Roman"/>
                  <w:color w:val="006FB7"/>
                  <w:sz w:val="20"/>
                  <w:szCs w:val="20"/>
                  <w:u w:val="single"/>
                  <w:bdr w:val="none" w:sz="0" w:space="0" w:color="auto" w:frame="1"/>
                </w:rPr>
                <w:t>Glenn Palomaki</w:t>
              </w:r>
            </w:hyperlink>
            <w:r w:rsidR="00B61FC7" w:rsidRPr="00B61FC7">
              <w:rPr>
                <w:rFonts w:ascii="Times New Roman" w:hAnsi="Times New Roman" w:cs="Times New Roman"/>
                <w:color w:val="2A2A2A"/>
                <w:sz w:val="20"/>
                <w:szCs w:val="20"/>
                <w:bdr w:val="none" w:sz="0" w:space="0" w:color="auto" w:frame="1"/>
              </w:rPr>
              <w:t>,</w:t>
            </w:r>
            <w:r w:rsidR="00B61FC7" w:rsidRPr="00B61FC7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 </w:t>
            </w:r>
            <w:hyperlink r:id="rId18" w:history="1">
              <w:r w:rsidR="00B61FC7" w:rsidRPr="00B61FC7">
                <w:rPr>
                  <w:rFonts w:ascii="Times New Roman" w:hAnsi="Times New Roman" w:cs="Times New Roman"/>
                  <w:color w:val="006FB7"/>
                  <w:sz w:val="20"/>
                  <w:szCs w:val="20"/>
                  <w:u w:val="single"/>
                  <w:bdr w:val="none" w:sz="0" w:space="0" w:color="auto" w:frame="1"/>
                </w:rPr>
                <w:t>Nancy Press</w:t>
              </w:r>
            </w:hyperlink>
            <w:r w:rsidR="00B61FC7" w:rsidRPr="00B61FC7">
              <w:rPr>
                <w:rFonts w:ascii="Times New Roman" w:hAnsi="Times New Roman" w:cs="Times New Roman"/>
                <w:color w:val="2A2A2A"/>
                <w:sz w:val="20"/>
                <w:szCs w:val="20"/>
                <w:bdr w:val="none" w:sz="0" w:space="0" w:color="auto" w:frame="1"/>
              </w:rPr>
              <w:t>,</w:t>
            </w:r>
            <w:r w:rsidR="00B61FC7" w:rsidRPr="00B61FC7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 </w:t>
            </w:r>
            <w:hyperlink r:id="rId19" w:history="1">
              <w:r w:rsidR="00B61FC7" w:rsidRPr="00B61FC7">
                <w:rPr>
                  <w:rFonts w:ascii="Times New Roman" w:hAnsi="Times New Roman" w:cs="Times New Roman"/>
                  <w:color w:val="006FB7"/>
                  <w:sz w:val="20"/>
                  <w:szCs w:val="20"/>
                  <w:u w:val="single"/>
                  <w:bdr w:val="none" w:sz="0" w:space="0" w:color="auto" w:frame="1"/>
                </w:rPr>
                <w:t>C. Sue Richards</w:t>
              </w:r>
            </w:hyperlink>
            <w:r w:rsidR="00B61FC7" w:rsidRPr="00B61FC7">
              <w:rPr>
                <w:rFonts w:ascii="Times New Roman" w:hAnsi="Times New Roman" w:cs="Times New Roman"/>
                <w:color w:val="2A2A2A"/>
                <w:sz w:val="20"/>
                <w:szCs w:val="20"/>
                <w:bdr w:val="none" w:sz="0" w:space="0" w:color="auto" w:frame="1"/>
              </w:rPr>
              <w:t>,</w:t>
            </w:r>
            <w:r w:rsidR="00B61FC7" w:rsidRPr="00B61FC7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 </w:t>
            </w:r>
            <w:hyperlink r:id="rId20" w:history="1">
              <w:r w:rsidR="00B61FC7" w:rsidRPr="00B61FC7">
                <w:rPr>
                  <w:rFonts w:ascii="Times New Roman" w:hAnsi="Times New Roman" w:cs="Times New Roman"/>
                  <w:color w:val="006FB7"/>
                  <w:sz w:val="20"/>
                  <w:szCs w:val="20"/>
                  <w:u w:val="single"/>
                  <w:bdr w:val="none" w:sz="0" w:space="0" w:color="auto" w:frame="1"/>
                </w:rPr>
                <w:t>Louise Wideroff</w:t>
              </w:r>
            </w:hyperlink>
            <w:r w:rsidR="00B61FC7" w:rsidRPr="00B61FC7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 </w:t>
            </w:r>
            <w:hyperlink r:id="rId21" w:history="1">
              <w:r w:rsidR="00B61FC7" w:rsidRPr="00B61FC7">
                <w:rPr>
                  <w:rFonts w:ascii="Times New Roman" w:hAnsi="Times New Roman" w:cs="Times New Roman"/>
                  <w:color w:val="2A2A2A"/>
                  <w:sz w:val="20"/>
                  <w:szCs w:val="20"/>
                  <w:u w:val="single"/>
                  <w:bdr w:val="none" w:sz="0" w:space="0" w:color="auto" w:frame="1"/>
                </w:rPr>
                <w:t>...</w:t>
              </w:r>
            </w:hyperlink>
          </w:p>
          <w:p w:rsidR="00B61FC7" w:rsidRPr="00B61FC7" w:rsidRDefault="004F2B2B" w:rsidP="00B61FC7">
            <w:pPr>
              <w:spacing w:after="0"/>
              <w:ind w:left="-117"/>
              <w:rPr>
                <w:rStyle w:val="Hypertextovprepojenie"/>
                <w:rFonts w:ascii="Times New Roman" w:hAnsi="Times New Roman" w:cs="Times New Roman"/>
                <w:color w:val="2A2A2A"/>
                <w:sz w:val="20"/>
                <w:szCs w:val="20"/>
                <w:bdr w:val="none" w:sz="0" w:space="0" w:color="auto" w:frame="1"/>
              </w:rPr>
            </w:pPr>
            <w:hyperlink r:id="rId22" w:history="1">
              <w:r w:rsidR="00B61FC7" w:rsidRPr="00B61FC7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</w:rPr>
                <w:t>https://academic.oup.com/aje/article/156/4/311/112516</w:t>
              </w:r>
            </w:hyperlink>
          </w:p>
          <w:p w:rsidR="00B61FC7" w:rsidRPr="00B61FC7" w:rsidRDefault="00B61FC7" w:rsidP="00B61FC7">
            <w:pPr>
              <w:ind w:lef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B4F" w:rsidRPr="00B61FC7" w:rsidRDefault="00B61FC7" w:rsidP="00B749B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61F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Komisia MZ SR pre ZCH, MZ SR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B4F" w:rsidRPr="00B61FC7" w:rsidRDefault="00B61FC7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61FC7">
              <w:rPr>
                <w:rFonts w:ascii="Times New Roman" w:eastAsia="Times New Roman" w:hAnsi="Times New Roman" w:cs="Times New Roman"/>
                <w:sz w:val="20"/>
                <w:szCs w:val="20"/>
              </w:rPr>
              <w:t>Dôvera ZP, a.s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B4F" w:rsidRPr="00B749B5" w:rsidRDefault="00B61FC7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1500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B4F" w:rsidRPr="00B749B5" w:rsidRDefault="00B61FC7" w:rsidP="00B7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1500</w:t>
            </w:r>
          </w:p>
        </w:tc>
      </w:tr>
      <w:bookmarkEnd w:id="0"/>
    </w:tbl>
    <w:p w:rsidR="00B749B5" w:rsidRDefault="00B749B5" w:rsidP="00B749B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k-SK"/>
        </w:rPr>
      </w:pPr>
    </w:p>
    <w:p w:rsidR="00C67B4F" w:rsidRPr="00B749B5" w:rsidRDefault="00C67B4F" w:rsidP="00B749B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k-SK"/>
        </w:rPr>
      </w:pPr>
    </w:p>
    <w:p w:rsidR="00B749B5" w:rsidRPr="00B749B5" w:rsidRDefault="00B749B5" w:rsidP="00B749B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k-SK"/>
        </w:rPr>
      </w:pPr>
    </w:p>
    <w:p w:rsidR="00B749B5" w:rsidRPr="00B749B5" w:rsidRDefault="00B749B5" w:rsidP="00B749B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k-SK"/>
        </w:rPr>
      </w:pPr>
    </w:p>
    <w:p w:rsidR="00B749B5" w:rsidRPr="00B749B5" w:rsidRDefault="00B749B5" w:rsidP="00B749B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k-SK"/>
        </w:rPr>
      </w:pPr>
      <w:r w:rsidRPr="00B749B5">
        <w:rPr>
          <w:rFonts w:ascii="Times New Roman" w:eastAsia="Times New Roman" w:hAnsi="Times New Roman" w:cs="Times New Roman"/>
          <w:b/>
          <w:u w:val="single"/>
          <w:lang w:eastAsia="sk-SK"/>
        </w:rPr>
        <w:t>Vysvetlivky k uvedeným skratkám:</w:t>
      </w:r>
    </w:p>
    <w:p w:rsidR="00B749B5" w:rsidRPr="00B749B5" w:rsidRDefault="00B749B5" w:rsidP="00B749B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k-SK"/>
        </w:rPr>
      </w:pPr>
    </w:p>
    <w:tbl>
      <w:tblPr>
        <w:tblStyle w:val="Mriekatabuky1"/>
        <w:tblW w:w="12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9928"/>
      </w:tblGrid>
      <w:tr w:rsidR="00B749B5" w:rsidRPr="00B749B5" w:rsidTr="00216502">
        <w:tc>
          <w:tcPr>
            <w:tcW w:w="2830" w:type="dxa"/>
          </w:tcPr>
          <w:p w:rsidR="00F4254B" w:rsidRPr="00AC25BA" w:rsidRDefault="00F4254B" w:rsidP="00B749B5">
            <w:pPr>
              <w:spacing w:line="276" w:lineRule="auto"/>
              <w:rPr>
                <w:b/>
                <w:color w:val="FF0000"/>
              </w:rPr>
            </w:pPr>
            <w:r w:rsidRPr="00AC25BA">
              <w:rPr>
                <w:b/>
                <w:color w:val="FF0000"/>
              </w:rPr>
              <w:t>a.s.</w:t>
            </w:r>
          </w:p>
          <w:p w:rsidR="00B749B5" w:rsidRPr="00B749B5" w:rsidRDefault="00B749B5" w:rsidP="00B749B5">
            <w:pPr>
              <w:spacing w:line="276" w:lineRule="auto"/>
              <w:rPr>
                <w:b/>
              </w:rPr>
            </w:pPr>
            <w:r w:rsidRPr="00B749B5">
              <w:rPr>
                <w:b/>
              </w:rPr>
              <w:t>AP</w:t>
            </w:r>
          </w:p>
        </w:tc>
        <w:tc>
          <w:tcPr>
            <w:tcW w:w="9928" w:type="dxa"/>
          </w:tcPr>
          <w:p w:rsidR="00F4254B" w:rsidRPr="00AC25BA" w:rsidRDefault="00F4254B" w:rsidP="00B749B5">
            <w:pPr>
              <w:spacing w:line="276" w:lineRule="auto"/>
              <w:rPr>
                <w:color w:val="FF0000"/>
              </w:rPr>
            </w:pPr>
            <w:r w:rsidRPr="00AC25BA">
              <w:rPr>
                <w:color w:val="FF0000"/>
              </w:rPr>
              <w:t>akciová apoločnosť</w:t>
            </w:r>
          </w:p>
          <w:p w:rsidR="00B749B5" w:rsidRPr="00B749B5" w:rsidRDefault="00B749B5" w:rsidP="00B749B5">
            <w:pPr>
              <w:spacing w:line="276" w:lineRule="auto"/>
              <w:rPr>
                <w:b/>
              </w:rPr>
            </w:pPr>
            <w:r w:rsidRPr="00B749B5">
              <w:t>Akčný plán</w:t>
            </w:r>
          </w:p>
        </w:tc>
      </w:tr>
      <w:tr w:rsidR="00B749B5" w:rsidRPr="00B749B5" w:rsidTr="00216502">
        <w:tc>
          <w:tcPr>
            <w:tcW w:w="2830" w:type="dxa"/>
          </w:tcPr>
          <w:p w:rsidR="00B749B5" w:rsidRPr="00B749B5" w:rsidRDefault="00B749B5" w:rsidP="00B749B5">
            <w:pPr>
              <w:spacing w:line="276" w:lineRule="auto"/>
              <w:rPr>
                <w:b/>
              </w:rPr>
            </w:pPr>
            <w:r w:rsidRPr="00B749B5">
              <w:rPr>
                <w:b/>
              </w:rPr>
              <w:t>COMP</w:t>
            </w:r>
          </w:p>
        </w:tc>
        <w:tc>
          <w:tcPr>
            <w:tcW w:w="9928" w:type="dxa"/>
          </w:tcPr>
          <w:p w:rsidR="00B749B5" w:rsidRPr="00B749B5" w:rsidRDefault="00B749B5" w:rsidP="00B749B5">
            <w:pPr>
              <w:spacing w:line="276" w:lineRule="auto"/>
            </w:pPr>
            <w:r w:rsidRPr="00B749B5">
              <w:rPr>
                <w:lang w:val="en-GB"/>
              </w:rPr>
              <w:t>Committee for orphan medicinal products</w:t>
            </w:r>
            <w:r w:rsidRPr="00B749B5">
              <w:t>, Komisia pre lieky na zriedkavé choroby</w:t>
            </w:r>
          </w:p>
        </w:tc>
      </w:tr>
      <w:tr w:rsidR="00B749B5" w:rsidRPr="00B749B5" w:rsidTr="00216502">
        <w:tc>
          <w:tcPr>
            <w:tcW w:w="2830" w:type="dxa"/>
          </w:tcPr>
          <w:p w:rsidR="00B749B5" w:rsidRPr="00B749B5" w:rsidRDefault="00B749B5" w:rsidP="00B749B5">
            <w:pPr>
              <w:spacing w:line="276" w:lineRule="auto"/>
              <w:rPr>
                <w:b/>
              </w:rPr>
            </w:pPr>
            <w:r w:rsidRPr="00B749B5">
              <w:rPr>
                <w:b/>
              </w:rPr>
              <w:t>CHÚ SAV</w:t>
            </w:r>
          </w:p>
        </w:tc>
        <w:tc>
          <w:tcPr>
            <w:tcW w:w="9928" w:type="dxa"/>
          </w:tcPr>
          <w:p w:rsidR="00B749B5" w:rsidRPr="00B749B5" w:rsidRDefault="00B749B5" w:rsidP="00B749B5">
            <w:pPr>
              <w:spacing w:line="276" w:lineRule="auto"/>
            </w:pPr>
            <w:r w:rsidRPr="00B749B5">
              <w:t>Chemický ústav Slovenskej akadémie vied</w:t>
            </w:r>
          </w:p>
        </w:tc>
      </w:tr>
      <w:tr w:rsidR="00B749B5" w:rsidRPr="00B749B5" w:rsidTr="00216502">
        <w:tc>
          <w:tcPr>
            <w:tcW w:w="2830" w:type="dxa"/>
          </w:tcPr>
          <w:p w:rsidR="00B749B5" w:rsidRPr="00B749B5" w:rsidRDefault="00B749B5" w:rsidP="00B749B5">
            <w:pPr>
              <w:spacing w:line="276" w:lineRule="auto"/>
              <w:rPr>
                <w:b/>
              </w:rPr>
            </w:pPr>
            <w:r w:rsidRPr="00B749B5">
              <w:rPr>
                <w:b/>
              </w:rPr>
              <w:t>DMP</w:t>
            </w:r>
          </w:p>
        </w:tc>
        <w:tc>
          <w:tcPr>
            <w:tcW w:w="9928" w:type="dxa"/>
          </w:tcPr>
          <w:p w:rsidR="00B749B5" w:rsidRPr="00B749B5" w:rsidRDefault="00B749B5" w:rsidP="00B749B5">
            <w:pPr>
              <w:spacing w:line="276" w:lineRule="auto"/>
            </w:pPr>
            <w:r w:rsidRPr="00B749B5">
              <w:t>Dedičné metabolické poruchy</w:t>
            </w:r>
          </w:p>
        </w:tc>
      </w:tr>
      <w:tr w:rsidR="00B749B5" w:rsidRPr="00B749B5" w:rsidTr="00216502">
        <w:tc>
          <w:tcPr>
            <w:tcW w:w="2830" w:type="dxa"/>
          </w:tcPr>
          <w:p w:rsidR="00B749B5" w:rsidRPr="00B749B5" w:rsidRDefault="00B749B5" w:rsidP="00B749B5">
            <w:pPr>
              <w:spacing w:line="276" w:lineRule="auto"/>
            </w:pPr>
            <w:r w:rsidRPr="00B749B5">
              <w:rPr>
                <w:b/>
              </w:rPr>
              <w:t>EBM</w:t>
            </w:r>
          </w:p>
        </w:tc>
        <w:tc>
          <w:tcPr>
            <w:tcW w:w="9928" w:type="dxa"/>
          </w:tcPr>
          <w:p w:rsidR="00B749B5" w:rsidRPr="00B749B5" w:rsidRDefault="00B749B5" w:rsidP="00B749B5">
            <w:pPr>
              <w:spacing w:line="276" w:lineRule="auto"/>
            </w:pPr>
            <w:r w:rsidRPr="00B749B5">
              <w:t>Evidence based medicine, Medicína založená na dôkazoch</w:t>
            </w:r>
          </w:p>
        </w:tc>
      </w:tr>
      <w:tr w:rsidR="00B749B5" w:rsidRPr="00B749B5" w:rsidTr="00216502">
        <w:tc>
          <w:tcPr>
            <w:tcW w:w="2830" w:type="dxa"/>
          </w:tcPr>
          <w:p w:rsidR="00B749B5" w:rsidRPr="00B749B5" w:rsidRDefault="00B749B5" w:rsidP="00B749B5">
            <w:pPr>
              <w:spacing w:line="276" w:lineRule="auto"/>
              <w:rPr>
                <w:b/>
              </w:rPr>
            </w:pPr>
            <w:r w:rsidRPr="00B749B5">
              <w:rPr>
                <w:b/>
              </w:rPr>
              <w:t>EMA</w:t>
            </w:r>
          </w:p>
        </w:tc>
        <w:tc>
          <w:tcPr>
            <w:tcW w:w="9928" w:type="dxa"/>
          </w:tcPr>
          <w:p w:rsidR="00B749B5" w:rsidRPr="00B749B5" w:rsidRDefault="00B749B5" w:rsidP="00B749B5">
            <w:pPr>
              <w:spacing w:line="276" w:lineRule="auto"/>
            </w:pPr>
            <w:r w:rsidRPr="00B749B5">
              <w:t>Europan medical agency, Európska lieková agentúra</w:t>
            </w:r>
          </w:p>
        </w:tc>
      </w:tr>
      <w:tr w:rsidR="00B749B5" w:rsidRPr="00B749B5" w:rsidTr="00216502">
        <w:tc>
          <w:tcPr>
            <w:tcW w:w="2830" w:type="dxa"/>
          </w:tcPr>
          <w:p w:rsidR="00B749B5" w:rsidRPr="00B749B5" w:rsidRDefault="00B749B5" w:rsidP="00B749B5">
            <w:pPr>
              <w:spacing w:line="276" w:lineRule="auto"/>
              <w:rPr>
                <w:b/>
              </w:rPr>
            </w:pPr>
            <w:r w:rsidRPr="00B749B5">
              <w:rPr>
                <w:b/>
              </w:rPr>
              <w:t>HO pre lekársku genetiku</w:t>
            </w:r>
          </w:p>
        </w:tc>
        <w:tc>
          <w:tcPr>
            <w:tcW w:w="9928" w:type="dxa"/>
          </w:tcPr>
          <w:p w:rsidR="00B749B5" w:rsidRPr="00B749B5" w:rsidRDefault="00B749B5" w:rsidP="00B749B5">
            <w:pPr>
              <w:spacing w:line="276" w:lineRule="auto"/>
            </w:pPr>
            <w:r w:rsidRPr="00B749B5">
              <w:t>Hlavný odborník pre lekársku genetiku</w:t>
            </w:r>
          </w:p>
        </w:tc>
      </w:tr>
      <w:tr w:rsidR="00B749B5" w:rsidRPr="00B749B5" w:rsidTr="00216502">
        <w:tc>
          <w:tcPr>
            <w:tcW w:w="2830" w:type="dxa"/>
          </w:tcPr>
          <w:p w:rsidR="00B749B5" w:rsidRPr="00B749B5" w:rsidRDefault="00B749B5" w:rsidP="00B749B5">
            <w:pPr>
              <w:spacing w:line="276" w:lineRule="auto"/>
            </w:pPr>
            <w:r w:rsidRPr="00B749B5">
              <w:rPr>
                <w:b/>
              </w:rPr>
              <w:t>Komisia MZ SR pre ZCH</w:t>
            </w:r>
          </w:p>
        </w:tc>
        <w:tc>
          <w:tcPr>
            <w:tcW w:w="9928" w:type="dxa"/>
          </w:tcPr>
          <w:p w:rsidR="00B749B5" w:rsidRPr="00B749B5" w:rsidRDefault="00B749B5" w:rsidP="00B749B5">
            <w:pPr>
              <w:spacing w:line="276" w:lineRule="auto"/>
            </w:pPr>
            <w:r w:rsidRPr="00B749B5">
              <w:t>Komisia Ministerstva zdravotníctva Slovenskej republiky pre zriedkavé choroby</w:t>
            </w:r>
          </w:p>
        </w:tc>
      </w:tr>
      <w:tr w:rsidR="00B749B5" w:rsidRPr="00B749B5" w:rsidTr="00216502">
        <w:tc>
          <w:tcPr>
            <w:tcW w:w="2830" w:type="dxa"/>
          </w:tcPr>
          <w:p w:rsidR="00B749B5" w:rsidRPr="00B749B5" w:rsidRDefault="00B749B5" w:rsidP="00B749B5">
            <w:pPr>
              <w:spacing w:line="276" w:lineRule="auto"/>
            </w:pPr>
            <w:r w:rsidRPr="00B749B5">
              <w:rPr>
                <w:b/>
              </w:rPr>
              <w:t>LF</w:t>
            </w:r>
          </w:p>
        </w:tc>
        <w:tc>
          <w:tcPr>
            <w:tcW w:w="9928" w:type="dxa"/>
          </w:tcPr>
          <w:p w:rsidR="00B749B5" w:rsidRPr="00B749B5" w:rsidRDefault="00B749B5" w:rsidP="00B749B5">
            <w:pPr>
              <w:spacing w:line="276" w:lineRule="auto"/>
            </w:pPr>
            <w:r w:rsidRPr="00B749B5">
              <w:t>Lekárske fakulty</w:t>
            </w:r>
          </w:p>
        </w:tc>
      </w:tr>
      <w:tr w:rsidR="00B749B5" w:rsidRPr="00B749B5" w:rsidTr="00216502">
        <w:tc>
          <w:tcPr>
            <w:tcW w:w="2830" w:type="dxa"/>
          </w:tcPr>
          <w:p w:rsidR="00B749B5" w:rsidRPr="00B749B5" w:rsidRDefault="00B749B5" w:rsidP="00B749B5">
            <w:pPr>
              <w:spacing w:line="276" w:lineRule="auto"/>
              <w:rPr>
                <w:b/>
                <w:bCs/>
              </w:rPr>
            </w:pPr>
            <w:r w:rsidRPr="00B749B5">
              <w:rPr>
                <w:b/>
                <w:bCs/>
              </w:rPr>
              <w:t>MPSVaR SR</w:t>
            </w:r>
          </w:p>
        </w:tc>
        <w:tc>
          <w:tcPr>
            <w:tcW w:w="9928" w:type="dxa"/>
          </w:tcPr>
          <w:p w:rsidR="00B749B5" w:rsidRPr="00B749B5" w:rsidRDefault="00B749B5" w:rsidP="00B749B5">
            <w:pPr>
              <w:spacing w:line="276" w:lineRule="auto"/>
            </w:pPr>
            <w:r w:rsidRPr="00B749B5">
              <w:t>Ministerstvo práce sociálnych veci a rodiny</w:t>
            </w:r>
          </w:p>
        </w:tc>
      </w:tr>
      <w:tr w:rsidR="00B749B5" w:rsidRPr="00B749B5" w:rsidTr="00216502">
        <w:tc>
          <w:tcPr>
            <w:tcW w:w="2830" w:type="dxa"/>
          </w:tcPr>
          <w:p w:rsidR="00B749B5" w:rsidRPr="00B749B5" w:rsidRDefault="00B749B5" w:rsidP="00B749B5">
            <w:pPr>
              <w:spacing w:line="276" w:lineRule="auto"/>
            </w:pPr>
            <w:r w:rsidRPr="00B749B5">
              <w:rPr>
                <w:b/>
              </w:rPr>
              <w:t>MZ SR</w:t>
            </w:r>
          </w:p>
        </w:tc>
        <w:tc>
          <w:tcPr>
            <w:tcW w:w="9928" w:type="dxa"/>
          </w:tcPr>
          <w:p w:rsidR="00B749B5" w:rsidRPr="00B749B5" w:rsidRDefault="00B749B5" w:rsidP="00B749B5">
            <w:pPr>
              <w:spacing w:line="276" w:lineRule="auto"/>
            </w:pPr>
            <w:r w:rsidRPr="00B749B5">
              <w:t>Ministerstvo zdravotníctva Slovenskej republiky</w:t>
            </w:r>
          </w:p>
        </w:tc>
      </w:tr>
      <w:tr w:rsidR="00B749B5" w:rsidRPr="00B749B5" w:rsidTr="00216502">
        <w:tc>
          <w:tcPr>
            <w:tcW w:w="2830" w:type="dxa"/>
          </w:tcPr>
          <w:p w:rsidR="00B749B5" w:rsidRPr="00B749B5" w:rsidRDefault="00B749B5" w:rsidP="00B749B5">
            <w:pPr>
              <w:spacing w:line="276" w:lineRule="auto"/>
            </w:pPr>
            <w:r w:rsidRPr="00B749B5">
              <w:rPr>
                <w:b/>
              </w:rPr>
              <w:t>NCZI</w:t>
            </w:r>
          </w:p>
        </w:tc>
        <w:tc>
          <w:tcPr>
            <w:tcW w:w="9928" w:type="dxa"/>
          </w:tcPr>
          <w:p w:rsidR="00B749B5" w:rsidRPr="00B749B5" w:rsidRDefault="00B749B5" w:rsidP="00B749B5">
            <w:pPr>
              <w:spacing w:line="276" w:lineRule="auto"/>
            </w:pPr>
            <w:r w:rsidRPr="00B749B5">
              <w:t>Národné centrum zdravotníckych informácií</w:t>
            </w:r>
          </w:p>
        </w:tc>
      </w:tr>
      <w:tr w:rsidR="00B749B5" w:rsidRPr="00B749B5" w:rsidTr="00216502">
        <w:tc>
          <w:tcPr>
            <w:tcW w:w="2830" w:type="dxa"/>
          </w:tcPr>
          <w:p w:rsidR="00B749B5" w:rsidRPr="00B749B5" w:rsidRDefault="00B749B5" w:rsidP="00B749B5">
            <w:pPr>
              <w:spacing w:line="276" w:lineRule="auto"/>
              <w:rPr>
                <w:b/>
              </w:rPr>
            </w:pPr>
            <w:r w:rsidRPr="00B749B5">
              <w:rPr>
                <w:b/>
              </w:rPr>
              <w:t>NÚDCH</w:t>
            </w:r>
          </w:p>
        </w:tc>
        <w:tc>
          <w:tcPr>
            <w:tcW w:w="9928" w:type="dxa"/>
          </w:tcPr>
          <w:p w:rsidR="00B749B5" w:rsidRPr="00B749B5" w:rsidRDefault="00B749B5" w:rsidP="00B749B5">
            <w:pPr>
              <w:spacing w:line="276" w:lineRule="auto"/>
            </w:pPr>
            <w:r w:rsidRPr="00B749B5">
              <w:t>Národný ústav detských chorôb</w:t>
            </w:r>
          </w:p>
        </w:tc>
      </w:tr>
      <w:tr w:rsidR="00B749B5" w:rsidRPr="00B749B5" w:rsidTr="00216502">
        <w:tc>
          <w:tcPr>
            <w:tcW w:w="2830" w:type="dxa"/>
          </w:tcPr>
          <w:p w:rsidR="00B749B5" w:rsidRPr="00B749B5" w:rsidRDefault="00B749B5" w:rsidP="00B749B5">
            <w:pPr>
              <w:spacing w:line="276" w:lineRule="auto"/>
              <w:rPr>
                <w:b/>
              </w:rPr>
            </w:pPr>
            <w:r w:rsidRPr="00B749B5">
              <w:rPr>
                <w:b/>
              </w:rPr>
              <w:t>NGS</w:t>
            </w:r>
          </w:p>
        </w:tc>
        <w:tc>
          <w:tcPr>
            <w:tcW w:w="9928" w:type="dxa"/>
          </w:tcPr>
          <w:p w:rsidR="00B749B5" w:rsidRPr="00B749B5" w:rsidRDefault="00B749B5" w:rsidP="00B749B5">
            <w:pPr>
              <w:spacing w:line="276" w:lineRule="auto"/>
            </w:pPr>
            <w:r w:rsidRPr="00B749B5">
              <w:t>Next generation sequencing, sekvenovanie novej generácie</w:t>
            </w:r>
          </w:p>
        </w:tc>
      </w:tr>
      <w:tr w:rsidR="00B749B5" w:rsidRPr="00B749B5" w:rsidTr="00216502">
        <w:tc>
          <w:tcPr>
            <w:tcW w:w="2830" w:type="dxa"/>
          </w:tcPr>
          <w:p w:rsidR="00B749B5" w:rsidRPr="00B749B5" w:rsidRDefault="00B749B5" w:rsidP="00B749B5">
            <w:pPr>
              <w:spacing w:line="276" w:lineRule="auto"/>
              <w:rPr>
                <w:b/>
              </w:rPr>
            </w:pPr>
            <w:r w:rsidRPr="00B749B5">
              <w:rPr>
                <w:b/>
              </w:rPr>
              <w:lastRenderedPageBreak/>
              <w:t>OAHTA</w:t>
            </w:r>
          </w:p>
        </w:tc>
        <w:tc>
          <w:tcPr>
            <w:tcW w:w="9928" w:type="dxa"/>
          </w:tcPr>
          <w:p w:rsidR="00B749B5" w:rsidRPr="00B749B5" w:rsidRDefault="00B749B5" w:rsidP="00B749B5">
            <w:pPr>
              <w:spacing w:line="276" w:lineRule="auto"/>
            </w:pPr>
            <w:r w:rsidRPr="00B749B5">
              <w:t>Odborná agentúra pre HTA</w:t>
            </w:r>
          </w:p>
        </w:tc>
      </w:tr>
      <w:tr w:rsidR="00B749B5" w:rsidRPr="00B749B5" w:rsidTr="00216502">
        <w:tc>
          <w:tcPr>
            <w:tcW w:w="2830" w:type="dxa"/>
          </w:tcPr>
          <w:p w:rsidR="00B749B5" w:rsidRPr="00B749B5" w:rsidRDefault="00B749B5" w:rsidP="00B749B5">
            <w:pPr>
              <w:spacing w:line="276" w:lineRule="auto"/>
            </w:pPr>
            <w:r w:rsidRPr="00B749B5">
              <w:rPr>
                <w:b/>
              </w:rPr>
              <w:t>OMP</w:t>
            </w:r>
          </w:p>
        </w:tc>
        <w:tc>
          <w:tcPr>
            <w:tcW w:w="9928" w:type="dxa"/>
          </w:tcPr>
          <w:p w:rsidR="00B749B5" w:rsidRPr="00B749B5" w:rsidRDefault="00B749B5" w:rsidP="00B749B5">
            <w:pPr>
              <w:spacing w:line="276" w:lineRule="auto"/>
            </w:pPr>
            <w:r w:rsidRPr="00B749B5">
              <w:t>Orphan medicinal product liek so štatútom orphan podľa Nariadenia ES 141/2000</w:t>
            </w:r>
          </w:p>
        </w:tc>
      </w:tr>
      <w:tr w:rsidR="00B749B5" w:rsidRPr="00B749B5" w:rsidTr="00216502">
        <w:tc>
          <w:tcPr>
            <w:tcW w:w="2830" w:type="dxa"/>
          </w:tcPr>
          <w:p w:rsidR="00B749B5" w:rsidRPr="00B749B5" w:rsidRDefault="00B749B5" w:rsidP="00B749B5">
            <w:pPr>
              <w:spacing w:line="276" w:lineRule="auto"/>
              <w:rPr>
                <w:b/>
              </w:rPr>
            </w:pPr>
            <w:r w:rsidRPr="00B749B5">
              <w:rPr>
                <w:b/>
              </w:rPr>
              <w:t>ORPHANET</w:t>
            </w:r>
          </w:p>
        </w:tc>
        <w:tc>
          <w:tcPr>
            <w:tcW w:w="9928" w:type="dxa"/>
          </w:tcPr>
          <w:p w:rsidR="00B749B5" w:rsidRPr="00B749B5" w:rsidRDefault="00B749B5" w:rsidP="00B749B5">
            <w:pPr>
              <w:spacing w:line="276" w:lineRule="auto"/>
            </w:pPr>
            <w:r w:rsidRPr="00B749B5">
              <w:t>The reference portal for information on rare diseases and orphan drugs, Európsky informačný portál o zriedkavých chorobách a liekoch pre zriedkavé choroby</w:t>
            </w:r>
          </w:p>
        </w:tc>
      </w:tr>
      <w:tr w:rsidR="00B749B5" w:rsidRPr="00B749B5" w:rsidTr="00216502">
        <w:tc>
          <w:tcPr>
            <w:tcW w:w="2830" w:type="dxa"/>
          </w:tcPr>
          <w:p w:rsidR="00B749B5" w:rsidRPr="00B749B5" w:rsidRDefault="00B749B5" w:rsidP="00B749B5">
            <w:pPr>
              <w:spacing w:line="276" w:lineRule="auto"/>
            </w:pPr>
            <w:r w:rsidRPr="00B749B5">
              <w:rPr>
                <w:b/>
              </w:rPr>
              <w:t>OS</w:t>
            </w:r>
          </w:p>
        </w:tc>
        <w:tc>
          <w:tcPr>
            <w:tcW w:w="9928" w:type="dxa"/>
          </w:tcPr>
          <w:p w:rsidR="00B749B5" w:rsidRPr="00B749B5" w:rsidRDefault="00B749B5" w:rsidP="00B749B5">
            <w:pPr>
              <w:spacing w:line="276" w:lineRule="auto"/>
            </w:pPr>
            <w:r w:rsidRPr="00B749B5">
              <w:t>Odborné spoločnosti Slovenskej lekárskej spoločnosti</w:t>
            </w:r>
          </w:p>
        </w:tc>
      </w:tr>
      <w:tr w:rsidR="00B749B5" w:rsidRPr="00B749B5" w:rsidTr="00216502">
        <w:tc>
          <w:tcPr>
            <w:tcW w:w="2830" w:type="dxa"/>
          </w:tcPr>
          <w:p w:rsidR="00B749B5" w:rsidRPr="00B749B5" w:rsidRDefault="00B749B5" w:rsidP="00B749B5">
            <w:pPr>
              <w:spacing w:line="276" w:lineRule="auto"/>
              <w:rPr>
                <w:b/>
              </w:rPr>
            </w:pPr>
            <w:r w:rsidRPr="00B749B5">
              <w:rPr>
                <w:b/>
              </w:rPr>
              <w:t>OŠKP</w:t>
            </w:r>
          </w:p>
        </w:tc>
        <w:tc>
          <w:tcPr>
            <w:tcW w:w="9928" w:type="dxa"/>
          </w:tcPr>
          <w:p w:rsidR="00B749B5" w:rsidRPr="00B749B5" w:rsidRDefault="00B749B5" w:rsidP="00B749B5">
            <w:pPr>
              <w:spacing w:line="276" w:lineRule="auto"/>
            </w:pPr>
            <w:r w:rsidRPr="00B749B5">
              <w:t>Odbor štandardných klinických postupov</w:t>
            </w:r>
          </w:p>
        </w:tc>
      </w:tr>
      <w:tr w:rsidR="00B749B5" w:rsidRPr="00B749B5" w:rsidTr="00216502">
        <w:tc>
          <w:tcPr>
            <w:tcW w:w="2830" w:type="dxa"/>
          </w:tcPr>
          <w:p w:rsidR="00B749B5" w:rsidRPr="00B749B5" w:rsidRDefault="00B749B5" w:rsidP="00B749B5">
            <w:pPr>
              <w:spacing w:line="276" w:lineRule="auto"/>
              <w:rPr>
                <w:b/>
              </w:rPr>
            </w:pPr>
            <w:r w:rsidRPr="00B749B5">
              <w:rPr>
                <w:b/>
              </w:rPr>
              <w:t>PO</w:t>
            </w:r>
          </w:p>
        </w:tc>
        <w:tc>
          <w:tcPr>
            <w:tcW w:w="9928" w:type="dxa"/>
          </w:tcPr>
          <w:p w:rsidR="00B749B5" w:rsidRPr="00B749B5" w:rsidRDefault="00B749B5" w:rsidP="00B749B5">
            <w:pPr>
              <w:spacing w:line="276" w:lineRule="auto"/>
            </w:pPr>
            <w:r w:rsidRPr="00B749B5">
              <w:t>Pacientske organizácie</w:t>
            </w:r>
          </w:p>
        </w:tc>
      </w:tr>
      <w:tr w:rsidR="00B749B5" w:rsidRPr="00B749B5" w:rsidTr="00216502">
        <w:tc>
          <w:tcPr>
            <w:tcW w:w="2830" w:type="dxa"/>
          </w:tcPr>
          <w:p w:rsidR="00B749B5" w:rsidRPr="00B749B5" w:rsidRDefault="00B749B5" w:rsidP="00B749B5">
            <w:pPr>
              <w:spacing w:line="276" w:lineRule="auto"/>
              <w:rPr>
                <w:b/>
              </w:rPr>
            </w:pPr>
            <w:r w:rsidRPr="00B749B5">
              <w:rPr>
                <w:b/>
              </w:rPr>
              <w:t>RD</w:t>
            </w:r>
          </w:p>
        </w:tc>
        <w:tc>
          <w:tcPr>
            <w:tcW w:w="9928" w:type="dxa"/>
          </w:tcPr>
          <w:p w:rsidR="00B749B5" w:rsidRPr="00B749B5" w:rsidRDefault="00B749B5" w:rsidP="00B749B5">
            <w:pPr>
              <w:spacing w:line="276" w:lineRule="auto"/>
            </w:pPr>
            <w:r w:rsidRPr="00B749B5">
              <w:t>Rare diseases, zriedkavé choroby</w:t>
            </w:r>
          </w:p>
        </w:tc>
      </w:tr>
      <w:tr w:rsidR="00B749B5" w:rsidRPr="00B749B5" w:rsidTr="00216502">
        <w:tc>
          <w:tcPr>
            <w:tcW w:w="2830" w:type="dxa"/>
          </w:tcPr>
          <w:p w:rsidR="00B749B5" w:rsidRPr="00B749B5" w:rsidRDefault="00B749B5" w:rsidP="00B749B5">
            <w:pPr>
              <w:spacing w:line="276" w:lineRule="auto"/>
              <w:rPr>
                <w:b/>
              </w:rPr>
            </w:pPr>
            <w:r w:rsidRPr="00B749B5">
              <w:rPr>
                <w:b/>
              </w:rPr>
              <w:t>SMA</w:t>
            </w:r>
          </w:p>
        </w:tc>
        <w:tc>
          <w:tcPr>
            <w:tcW w:w="9928" w:type="dxa"/>
          </w:tcPr>
          <w:p w:rsidR="00B749B5" w:rsidRPr="00B749B5" w:rsidRDefault="00B749B5" w:rsidP="00B749B5">
            <w:pPr>
              <w:spacing w:line="276" w:lineRule="auto"/>
            </w:pPr>
            <w:r w:rsidRPr="00B749B5">
              <w:t>Spinálna muskulárna atrofia</w:t>
            </w:r>
          </w:p>
        </w:tc>
      </w:tr>
      <w:tr w:rsidR="00B749B5" w:rsidRPr="00B749B5" w:rsidTr="00216502">
        <w:tc>
          <w:tcPr>
            <w:tcW w:w="2830" w:type="dxa"/>
          </w:tcPr>
          <w:p w:rsidR="00B749B5" w:rsidRPr="00B749B5" w:rsidRDefault="00B749B5" w:rsidP="00B749B5">
            <w:pPr>
              <w:spacing w:line="276" w:lineRule="auto"/>
              <w:rPr>
                <w:b/>
              </w:rPr>
            </w:pPr>
            <w:r w:rsidRPr="00B749B5">
              <w:rPr>
                <w:b/>
              </w:rPr>
              <w:t>SAV</w:t>
            </w:r>
          </w:p>
        </w:tc>
        <w:tc>
          <w:tcPr>
            <w:tcW w:w="9928" w:type="dxa"/>
          </w:tcPr>
          <w:p w:rsidR="00B749B5" w:rsidRPr="00B749B5" w:rsidRDefault="00B749B5" w:rsidP="00B749B5">
            <w:pPr>
              <w:spacing w:line="276" w:lineRule="auto"/>
            </w:pPr>
            <w:r w:rsidRPr="00B749B5">
              <w:t>Slovenská akadémia vied</w:t>
            </w:r>
          </w:p>
        </w:tc>
      </w:tr>
      <w:tr w:rsidR="00B749B5" w:rsidRPr="00B749B5" w:rsidTr="00216502">
        <w:tc>
          <w:tcPr>
            <w:tcW w:w="2830" w:type="dxa"/>
          </w:tcPr>
          <w:p w:rsidR="00B749B5" w:rsidRPr="00B749B5" w:rsidRDefault="00B749B5" w:rsidP="00B749B5">
            <w:pPr>
              <w:spacing w:line="276" w:lineRule="auto"/>
            </w:pPr>
            <w:r w:rsidRPr="00B749B5">
              <w:rPr>
                <w:b/>
              </w:rPr>
              <w:t>SAZCH</w:t>
            </w:r>
          </w:p>
        </w:tc>
        <w:tc>
          <w:tcPr>
            <w:tcW w:w="9928" w:type="dxa"/>
          </w:tcPr>
          <w:p w:rsidR="00B749B5" w:rsidRPr="00B749B5" w:rsidRDefault="00B749B5" w:rsidP="00B749B5">
            <w:pPr>
              <w:spacing w:line="276" w:lineRule="auto"/>
            </w:pPr>
            <w:r w:rsidRPr="00B749B5">
              <w:t>Slovenská aliancia zriedkavých chorôb</w:t>
            </w:r>
          </w:p>
        </w:tc>
      </w:tr>
      <w:tr w:rsidR="00B749B5" w:rsidRPr="00B749B5" w:rsidTr="00216502">
        <w:tc>
          <w:tcPr>
            <w:tcW w:w="2830" w:type="dxa"/>
          </w:tcPr>
          <w:p w:rsidR="00B749B5" w:rsidRPr="00B749B5" w:rsidRDefault="00B749B5" w:rsidP="00B749B5">
            <w:pPr>
              <w:spacing w:line="276" w:lineRule="auto"/>
              <w:rPr>
                <w:b/>
              </w:rPr>
            </w:pPr>
            <w:r w:rsidRPr="00B749B5">
              <w:rPr>
                <w:b/>
              </w:rPr>
              <w:t xml:space="preserve">SCID </w:t>
            </w:r>
          </w:p>
        </w:tc>
        <w:tc>
          <w:tcPr>
            <w:tcW w:w="9928" w:type="dxa"/>
          </w:tcPr>
          <w:p w:rsidR="00B749B5" w:rsidRPr="00B749B5" w:rsidRDefault="00B749B5" w:rsidP="00B749B5">
            <w:pPr>
              <w:spacing w:line="276" w:lineRule="auto"/>
            </w:pPr>
            <w:r w:rsidRPr="00B749B5">
              <w:t>Skríning imunodeficiencie</w:t>
            </w:r>
          </w:p>
        </w:tc>
      </w:tr>
      <w:tr w:rsidR="00B749B5" w:rsidRPr="00B749B5" w:rsidTr="00216502">
        <w:tc>
          <w:tcPr>
            <w:tcW w:w="2830" w:type="dxa"/>
          </w:tcPr>
          <w:p w:rsidR="00B749B5" w:rsidRPr="00B749B5" w:rsidRDefault="00B749B5" w:rsidP="00B749B5">
            <w:pPr>
              <w:spacing w:line="276" w:lineRule="auto"/>
            </w:pPr>
            <w:r w:rsidRPr="00B749B5">
              <w:rPr>
                <w:b/>
              </w:rPr>
              <w:t>SCN SR</w:t>
            </w:r>
          </w:p>
        </w:tc>
        <w:tc>
          <w:tcPr>
            <w:tcW w:w="9928" w:type="dxa"/>
          </w:tcPr>
          <w:p w:rsidR="00B749B5" w:rsidRPr="00B749B5" w:rsidRDefault="00B749B5" w:rsidP="00B749B5">
            <w:pPr>
              <w:spacing w:line="276" w:lineRule="auto"/>
            </w:pPr>
            <w:r w:rsidRPr="00B749B5">
              <w:t>Skríningové centrum novorodencov v Slovenskej republike</w:t>
            </w:r>
          </w:p>
        </w:tc>
      </w:tr>
      <w:tr w:rsidR="00B749B5" w:rsidRPr="00B749B5" w:rsidTr="00216502">
        <w:tc>
          <w:tcPr>
            <w:tcW w:w="2830" w:type="dxa"/>
          </w:tcPr>
          <w:p w:rsidR="00B749B5" w:rsidRPr="00B749B5" w:rsidRDefault="00B749B5" w:rsidP="00B749B5">
            <w:pPr>
              <w:spacing w:line="276" w:lineRule="auto"/>
              <w:rPr>
                <w:b/>
              </w:rPr>
            </w:pPr>
            <w:r w:rsidRPr="00B749B5">
              <w:rPr>
                <w:b/>
              </w:rPr>
              <w:t>SFLP</w:t>
            </w:r>
          </w:p>
        </w:tc>
        <w:tc>
          <w:tcPr>
            <w:tcW w:w="9928" w:type="dxa"/>
          </w:tcPr>
          <w:p w:rsidR="00B749B5" w:rsidRPr="00B749B5" w:rsidRDefault="00B749B5" w:rsidP="00B749B5">
            <w:pPr>
              <w:spacing w:line="276" w:lineRule="auto"/>
            </w:pPr>
            <w:r w:rsidRPr="00B749B5">
              <w:t>Sekcia farmácie a liekovej politiky</w:t>
            </w:r>
          </w:p>
        </w:tc>
      </w:tr>
      <w:tr w:rsidR="00B749B5" w:rsidRPr="00B749B5" w:rsidTr="00216502">
        <w:tc>
          <w:tcPr>
            <w:tcW w:w="2830" w:type="dxa"/>
          </w:tcPr>
          <w:p w:rsidR="00B749B5" w:rsidRPr="00B749B5" w:rsidRDefault="00B749B5" w:rsidP="00B749B5">
            <w:pPr>
              <w:spacing w:line="276" w:lineRule="auto"/>
            </w:pPr>
            <w:r w:rsidRPr="00B749B5">
              <w:rPr>
                <w:b/>
              </w:rPr>
              <w:t>SLS</w:t>
            </w:r>
          </w:p>
        </w:tc>
        <w:tc>
          <w:tcPr>
            <w:tcW w:w="9928" w:type="dxa"/>
          </w:tcPr>
          <w:p w:rsidR="00B749B5" w:rsidRPr="00B749B5" w:rsidRDefault="00B749B5" w:rsidP="00B749B5">
            <w:pPr>
              <w:spacing w:line="276" w:lineRule="auto"/>
            </w:pPr>
            <w:r w:rsidRPr="00B749B5">
              <w:t>Slovenská lekárska spoločnosť</w:t>
            </w:r>
          </w:p>
        </w:tc>
      </w:tr>
      <w:tr w:rsidR="00B749B5" w:rsidRPr="00B749B5" w:rsidTr="00216502">
        <w:tc>
          <w:tcPr>
            <w:tcW w:w="2830" w:type="dxa"/>
          </w:tcPr>
          <w:p w:rsidR="00B749B5" w:rsidRPr="00B749B5" w:rsidRDefault="00B749B5" w:rsidP="00B749B5">
            <w:pPr>
              <w:spacing w:line="276" w:lineRule="auto"/>
            </w:pPr>
            <w:r w:rsidRPr="00B749B5">
              <w:rPr>
                <w:b/>
              </w:rPr>
              <w:t>SSLG</w:t>
            </w:r>
          </w:p>
        </w:tc>
        <w:tc>
          <w:tcPr>
            <w:tcW w:w="9928" w:type="dxa"/>
          </w:tcPr>
          <w:p w:rsidR="00B749B5" w:rsidRPr="00B749B5" w:rsidRDefault="00B749B5" w:rsidP="00B749B5">
            <w:pPr>
              <w:spacing w:line="276" w:lineRule="auto"/>
            </w:pPr>
            <w:r w:rsidRPr="00B749B5">
              <w:t>Slovenská spoločnosť lekárskej genetiky</w:t>
            </w:r>
          </w:p>
        </w:tc>
      </w:tr>
      <w:tr w:rsidR="00B749B5" w:rsidRPr="00B749B5" w:rsidTr="00216502">
        <w:tc>
          <w:tcPr>
            <w:tcW w:w="2830" w:type="dxa"/>
          </w:tcPr>
          <w:p w:rsidR="00B749B5" w:rsidRPr="00B749B5" w:rsidRDefault="00B749B5" w:rsidP="00B749B5">
            <w:pPr>
              <w:spacing w:line="276" w:lineRule="auto"/>
            </w:pPr>
            <w:r w:rsidRPr="00B749B5">
              <w:rPr>
                <w:b/>
              </w:rPr>
              <w:t>ŠÚKL</w:t>
            </w:r>
          </w:p>
        </w:tc>
        <w:tc>
          <w:tcPr>
            <w:tcW w:w="9928" w:type="dxa"/>
          </w:tcPr>
          <w:p w:rsidR="00B749B5" w:rsidRPr="00B749B5" w:rsidRDefault="00B749B5" w:rsidP="00B749B5">
            <w:pPr>
              <w:spacing w:line="276" w:lineRule="auto"/>
            </w:pPr>
            <w:r w:rsidRPr="00B749B5">
              <w:t>Štátny ústav pre kontrolu liečiv</w:t>
            </w:r>
          </w:p>
        </w:tc>
      </w:tr>
      <w:tr w:rsidR="00B749B5" w:rsidRPr="00B749B5" w:rsidTr="00216502">
        <w:tc>
          <w:tcPr>
            <w:tcW w:w="2830" w:type="dxa"/>
          </w:tcPr>
          <w:p w:rsidR="00B749B5" w:rsidRPr="00B749B5" w:rsidRDefault="00B749B5" w:rsidP="00B749B5">
            <w:pPr>
              <w:spacing w:line="276" w:lineRule="auto"/>
            </w:pPr>
            <w:r w:rsidRPr="00B749B5">
              <w:rPr>
                <w:b/>
              </w:rPr>
              <w:t>ÚDZS</w:t>
            </w:r>
          </w:p>
        </w:tc>
        <w:tc>
          <w:tcPr>
            <w:tcW w:w="9928" w:type="dxa"/>
          </w:tcPr>
          <w:p w:rsidR="00B749B5" w:rsidRPr="00B749B5" w:rsidRDefault="00B749B5" w:rsidP="00B749B5">
            <w:pPr>
              <w:spacing w:line="276" w:lineRule="auto"/>
            </w:pPr>
            <w:r w:rsidRPr="00B749B5">
              <w:t>Úrad pre dohľad nad zdravotnou starostlivosťou</w:t>
            </w:r>
          </w:p>
        </w:tc>
      </w:tr>
      <w:tr w:rsidR="00B749B5" w:rsidRPr="00B749B5" w:rsidTr="00216502">
        <w:tc>
          <w:tcPr>
            <w:tcW w:w="2830" w:type="dxa"/>
          </w:tcPr>
          <w:p w:rsidR="00B749B5" w:rsidRPr="00B749B5" w:rsidRDefault="00B749B5" w:rsidP="00B749B5">
            <w:pPr>
              <w:spacing w:line="276" w:lineRule="auto"/>
              <w:jc w:val="left"/>
              <w:rPr>
                <w:b/>
              </w:rPr>
            </w:pPr>
            <w:r w:rsidRPr="00B749B5">
              <w:rPr>
                <w:b/>
              </w:rPr>
              <w:t>ZCH</w:t>
            </w:r>
          </w:p>
        </w:tc>
        <w:tc>
          <w:tcPr>
            <w:tcW w:w="9928" w:type="dxa"/>
          </w:tcPr>
          <w:p w:rsidR="00B749B5" w:rsidRPr="00B749B5" w:rsidRDefault="00B749B5" w:rsidP="00B749B5">
            <w:pPr>
              <w:spacing w:line="276" w:lineRule="auto"/>
              <w:jc w:val="left"/>
            </w:pPr>
            <w:r w:rsidRPr="00B749B5">
              <w:t xml:space="preserve">zriedkavé choroby </w:t>
            </w:r>
          </w:p>
        </w:tc>
      </w:tr>
      <w:tr w:rsidR="00B749B5" w:rsidRPr="00B749B5" w:rsidTr="00216502">
        <w:tc>
          <w:tcPr>
            <w:tcW w:w="2830" w:type="dxa"/>
          </w:tcPr>
          <w:p w:rsidR="00B749B5" w:rsidRPr="00B749B5" w:rsidRDefault="00B749B5" w:rsidP="00B749B5">
            <w:pPr>
              <w:spacing w:line="276" w:lineRule="auto"/>
              <w:jc w:val="left"/>
            </w:pPr>
            <w:r w:rsidRPr="00B749B5">
              <w:rPr>
                <w:b/>
              </w:rPr>
              <w:t>ZP</w:t>
            </w:r>
          </w:p>
        </w:tc>
        <w:tc>
          <w:tcPr>
            <w:tcW w:w="9928" w:type="dxa"/>
          </w:tcPr>
          <w:p w:rsidR="00B749B5" w:rsidRPr="00B749B5" w:rsidRDefault="00B749B5" w:rsidP="00B749B5">
            <w:pPr>
              <w:spacing w:line="276" w:lineRule="auto"/>
              <w:jc w:val="left"/>
            </w:pPr>
            <w:r w:rsidRPr="00B749B5">
              <w:t xml:space="preserve">Zdravotné poisťovne </w:t>
            </w:r>
          </w:p>
        </w:tc>
      </w:tr>
      <w:tr w:rsidR="00B749B5" w:rsidRPr="00B749B5" w:rsidTr="00216502">
        <w:tc>
          <w:tcPr>
            <w:tcW w:w="2830" w:type="dxa"/>
          </w:tcPr>
          <w:p w:rsidR="00B749B5" w:rsidRPr="00B749B5" w:rsidRDefault="00B749B5" w:rsidP="00B749B5">
            <w:pPr>
              <w:spacing w:line="276" w:lineRule="auto"/>
              <w:jc w:val="left"/>
            </w:pPr>
            <w:r w:rsidRPr="00B749B5">
              <w:rPr>
                <w:b/>
              </w:rPr>
              <w:t>EP</w:t>
            </w:r>
          </w:p>
        </w:tc>
        <w:tc>
          <w:tcPr>
            <w:tcW w:w="9928" w:type="dxa"/>
          </w:tcPr>
          <w:p w:rsidR="00B749B5" w:rsidRPr="00B749B5" w:rsidRDefault="00B749B5" w:rsidP="00B749B5">
            <w:pPr>
              <w:spacing w:line="276" w:lineRule="auto"/>
              <w:jc w:val="left"/>
            </w:pPr>
            <w:r w:rsidRPr="00B749B5">
              <w:t>Európsky parlament</w:t>
            </w:r>
          </w:p>
        </w:tc>
      </w:tr>
      <w:tr w:rsidR="00B749B5" w:rsidRPr="00B749B5" w:rsidTr="00216502">
        <w:tc>
          <w:tcPr>
            <w:tcW w:w="2830" w:type="dxa"/>
          </w:tcPr>
          <w:p w:rsidR="00B749B5" w:rsidRPr="00B749B5" w:rsidRDefault="00B749B5" w:rsidP="00B749B5">
            <w:pPr>
              <w:spacing w:line="276" w:lineRule="auto"/>
              <w:jc w:val="left"/>
            </w:pPr>
            <w:r w:rsidRPr="00B749B5">
              <w:rPr>
                <w:b/>
              </w:rPr>
              <w:t>EK</w:t>
            </w:r>
          </w:p>
        </w:tc>
        <w:tc>
          <w:tcPr>
            <w:tcW w:w="9928" w:type="dxa"/>
          </w:tcPr>
          <w:p w:rsidR="00B749B5" w:rsidRPr="00B749B5" w:rsidRDefault="00B749B5" w:rsidP="00B749B5">
            <w:pPr>
              <w:spacing w:line="276" w:lineRule="auto"/>
              <w:jc w:val="left"/>
            </w:pPr>
            <w:r w:rsidRPr="00B749B5">
              <w:t>Európska komisia</w:t>
            </w:r>
          </w:p>
        </w:tc>
      </w:tr>
      <w:tr w:rsidR="00B749B5" w:rsidRPr="00B749B5" w:rsidTr="00216502">
        <w:tc>
          <w:tcPr>
            <w:tcW w:w="2830" w:type="dxa"/>
          </w:tcPr>
          <w:p w:rsidR="00B749B5" w:rsidRPr="00B749B5" w:rsidRDefault="00B749B5" w:rsidP="00B749B5">
            <w:pPr>
              <w:spacing w:line="276" w:lineRule="auto"/>
              <w:jc w:val="left"/>
            </w:pPr>
            <w:r w:rsidRPr="00B749B5">
              <w:rPr>
                <w:b/>
              </w:rPr>
              <w:t>ERN</w:t>
            </w:r>
          </w:p>
        </w:tc>
        <w:tc>
          <w:tcPr>
            <w:tcW w:w="9928" w:type="dxa"/>
          </w:tcPr>
          <w:p w:rsidR="00B749B5" w:rsidRPr="00B749B5" w:rsidRDefault="00B749B5" w:rsidP="00B749B5">
            <w:pPr>
              <w:spacing w:line="276" w:lineRule="auto"/>
              <w:jc w:val="left"/>
            </w:pPr>
            <w:r w:rsidRPr="00B749B5">
              <w:t>European Reference Networks, Európske referenčné siete</w:t>
            </w:r>
          </w:p>
        </w:tc>
      </w:tr>
      <w:tr w:rsidR="00B749B5" w:rsidRPr="00B749B5" w:rsidTr="00216502">
        <w:tc>
          <w:tcPr>
            <w:tcW w:w="2830" w:type="dxa"/>
          </w:tcPr>
          <w:p w:rsidR="00B749B5" w:rsidRPr="00B749B5" w:rsidRDefault="00B749B5" w:rsidP="00B749B5">
            <w:pPr>
              <w:spacing w:line="276" w:lineRule="auto"/>
              <w:jc w:val="left"/>
            </w:pPr>
            <w:r w:rsidRPr="00B749B5">
              <w:rPr>
                <w:b/>
              </w:rPr>
              <w:t>SCN SR</w:t>
            </w:r>
          </w:p>
        </w:tc>
        <w:tc>
          <w:tcPr>
            <w:tcW w:w="9928" w:type="dxa"/>
          </w:tcPr>
          <w:p w:rsidR="00B749B5" w:rsidRPr="00B749B5" w:rsidRDefault="00B749B5" w:rsidP="00B749B5">
            <w:pPr>
              <w:spacing w:line="276" w:lineRule="auto"/>
              <w:jc w:val="left"/>
            </w:pPr>
            <w:r w:rsidRPr="00B749B5">
              <w:t>Skríningové centrum novorodencov v SR</w:t>
            </w:r>
          </w:p>
        </w:tc>
      </w:tr>
      <w:tr w:rsidR="00B749B5" w:rsidRPr="00B749B5" w:rsidTr="00216502">
        <w:tc>
          <w:tcPr>
            <w:tcW w:w="2830" w:type="dxa"/>
          </w:tcPr>
          <w:p w:rsidR="00B749B5" w:rsidRPr="00B749B5" w:rsidRDefault="00B749B5" w:rsidP="00B749B5">
            <w:pPr>
              <w:spacing w:line="276" w:lineRule="auto"/>
              <w:jc w:val="left"/>
              <w:rPr>
                <w:b/>
              </w:rPr>
            </w:pPr>
            <w:r w:rsidRPr="00B749B5">
              <w:rPr>
                <w:b/>
              </w:rPr>
              <w:t>ZZV</w:t>
            </w:r>
          </w:p>
        </w:tc>
        <w:tc>
          <w:tcPr>
            <w:tcW w:w="9928" w:type="dxa"/>
          </w:tcPr>
          <w:p w:rsidR="00B749B5" w:rsidRPr="00B749B5" w:rsidRDefault="00B749B5" w:rsidP="00B749B5">
            <w:pPr>
              <w:spacing w:line="276" w:lineRule="auto"/>
              <w:jc w:val="left"/>
            </w:pPr>
            <w:r w:rsidRPr="00B749B5">
              <w:t>Zoznam zdravotných výkonov</w:t>
            </w:r>
          </w:p>
        </w:tc>
      </w:tr>
    </w:tbl>
    <w:p w:rsidR="00B749B5" w:rsidRPr="00B749B5" w:rsidRDefault="00B749B5" w:rsidP="00B749B5">
      <w:pPr>
        <w:tabs>
          <w:tab w:val="left" w:pos="6379"/>
        </w:tabs>
        <w:spacing w:after="0" w:line="240" w:lineRule="auto"/>
        <w:jc w:val="left"/>
        <w:rPr>
          <w:rFonts w:ascii="Times New Roman" w:hAnsi="Times New Roman" w:cs="Times New Roman"/>
        </w:rPr>
      </w:pPr>
    </w:p>
    <w:p w:rsidR="00B749B5" w:rsidRPr="00B749B5" w:rsidRDefault="00B749B5" w:rsidP="00B749B5">
      <w:pPr>
        <w:autoSpaceDE w:val="0"/>
        <w:autoSpaceDN w:val="0"/>
        <w:adjustRightInd w:val="0"/>
        <w:spacing w:after="0" w:line="240" w:lineRule="auto"/>
        <w:ind w:left="-1418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1F2B9C" w:rsidRPr="00334033" w:rsidRDefault="00DA55C5" w:rsidP="00334033">
      <w:pPr>
        <w:pStyle w:val="Normlny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sectPr w:rsidR="001F2B9C" w:rsidRPr="00334033" w:rsidSect="004616D4">
      <w:headerReference w:type="default" r:id="rId23"/>
      <w:footerReference w:type="default" r:id="rId24"/>
      <w:footerReference w:type="first" r:id="rId25"/>
      <w:pgSz w:w="16838" w:h="11906" w:orient="landscape"/>
      <w:pgMar w:top="1418" w:right="3402" w:bottom="1418" w:left="3402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B2B" w:rsidRDefault="004F2B2B" w:rsidP="00EA2731">
      <w:pPr>
        <w:spacing w:after="0" w:line="240" w:lineRule="auto"/>
      </w:pPr>
      <w:r>
        <w:separator/>
      </w:r>
    </w:p>
  </w:endnote>
  <w:endnote w:type="continuationSeparator" w:id="0">
    <w:p w:rsidR="004F2B2B" w:rsidRDefault="004F2B2B" w:rsidP="00EA2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033" w:rsidRDefault="00334033">
    <w:pPr>
      <w:pStyle w:val="Pta"/>
    </w:pPr>
  </w:p>
  <w:sdt>
    <w:sdtPr>
      <w:id w:val="964625816"/>
      <w:docPartObj>
        <w:docPartGallery w:val="Page Numbers (Bottom of Page)"/>
        <w:docPartUnique/>
      </w:docPartObj>
    </w:sdtPr>
    <w:sdtEndPr/>
    <w:sdtContent>
      <w:p w:rsidR="00334033" w:rsidRPr="00334033" w:rsidRDefault="00334033" w:rsidP="00334033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tabs>
            <w:tab w:val="left" w:pos="1560"/>
            <w:tab w:val="left" w:pos="3969"/>
            <w:tab w:val="left" w:pos="7797"/>
          </w:tabs>
          <w:spacing w:after="0" w:line="240" w:lineRule="auto"/>
          <w:jc w:val="left"/>
          <w:rPr>
            <w:rFonts w:eastAsia="Times New Roman" w:cs="Arial"/>
            <w:sz w:val="20"/>
            <w:szCs w:val="20"/>
          </w:rPr>
        </w:pPr>
        <w:r w:rsidRPr="00334033">
          <w:rPr>
            <w:rFonts w:eastAsia="Times New Roman"/>
            <w:sz w:val="20"/>
            <w:szCs w:val="20"/>
          </w:rPr>
          <w:t>Prerokované</w:t>
        </w:r>
        <w:r w:rsidRPr="00334033">
          <w:rPr>
            <w:rFonts w:eastAsia="Times New Roman" w:cs="Arial"/>
            <w:sz w:val="20"/>
            <w:szCs w:val="20"/>
          </w:rPr>
          <w:t xml:space="preserve"> dňa:</w:t>
        </w:r>
        <w:r w:rsidRPr="00334033">
          <w:rPr>
            <w:rFonts w:eastAsia="Times New Roman" w:cs="Arial"/>
            <w:sz w:val="20"/>
            <w:szCs w:val="20"/>
          </w:rPr>
          <w:tab/>
          <w:t>apríl 2021</w:t>
        </w:r>
        <w:r w:rsidRPr="00334033">
          <w:rPr>
            <w:rFonts w:eastAsia="Times New Roman" w:cs="Arial"/>
            <w:sz w:val="20"/>
            <w:szCs w:val="20"/>
          </w:rPr>
          <w:tab/>
        </w:r>
        <w:r w:rsidRPr="00334033">
          <w:rPr>
            <w:rFonts w:eastAsia="Times New Roman" w:cs="Arial"/>
            <w:sz w:val="20"/>
            <w:szCs w:val="20"/>
          </w:rPr>
          <w:tab/>
          <w:t xml:space="preserve"> Strana: </w:t>
        </w:r>
        <w:r w:rsidRPr="00334033">
          <w:rPr>
            <w:rFonts w:eastAsia="Times New Roman" w:cs="Arial"/>
            <w:sz w:val="20"/>
            <w:szCs w:val="20"/>
          </w:rPr>
          <w:fldChar w:fldCharType="begin"/>
        </w:r>
        <w:r w:rsidRPr="00334033">
          <w:rPr>
            <w:rFonts w:eastAsia="Times New Roman" w:cs="Arial"/>
            <w:sz w:val="20"/>
            <w:szCs w:val="20"/>
          </w:rPr>
          <w:instrText xml:space="preserve"> PAGE </w:instrText>
        </w:r>
        <w:r w:rsidRPr="00334033">
          <w:rPr>
            <w:rFonts w:eastAsia="Times New Roman" w:cs="Arial"/>
            <w:sz w:val="20"/>
            <w:szCs w:val="20"/>
          </w:rPr>
          <w:fldChar w:fldCharType="separate"/>
        </w:r>
        <w:r w:rsidR="00D233D3">
          <w:rPr>
            <w:rFonts w:eastAsia="Times New Roman" w:cs="Arial"/>
            <w:noProof/>
            <w:sz w:val="20"/>
            <w:szCs w:val="20"/>
          </w:rPr>
          <w:t>4</w:t>
        </w:r>
        <w:r w:rsidRPr="00334033">
          <w:rPr>
            <w:rFonts w:eastAsia="Times New Roman" w:cs="Arial"/>
            <w:sz w:val="20"/>
            <w:szCs w:val="20"/>
          </w:rPr>
          <w:fldChar w:fldCharType="end"/>
        </w:r>
        <w:r w:rsidRPr="00334033">
          <w:rPr>
            <w:rFonts w:eastAsia="Times New Roman" w:cs="Arial"/>
            <w:sz w:val="20"/>
            <w:szCs w:val="20"/>
          </w:rPr>
          <w:t>/</w:t>
        </w:r>
        <w:r w:rsidRPr="00334033">
          <w:rPr>
            <w:rFonts w:eastAsia="Times New Roman" w:cs="Arial"/>
            <w:sz w:val="20"/>
            <w:szCs w:val="20"/>
          </w:rPr>
          <w:fldChar w:fldCharType="begin"/>
        </w:r>
        <w:r w:rsidRPr="00334033">
          <w:rPr>
            <w:rFonts w:eastAsia="Times New Roman" w:cs="Arial"/>
            <w:sz w:val="20"/>
            <w:szCs w:val="20"/>
          </w:rPr>
          <w:instrText xml:space="preserve"> NUMPAGES </w:instrText>
        </w:r>
        <w:r w:rsidRPr="00334033">
          <w:rPr>
            <w:rFonts w:eastAsia="Times New Roman" w:cs="Arial"/>
            <w:sz w:val="20"/>
            <w:szCs w:val="20"/>
          </w:rPr>
          <w:fldChar w:fldCharType="separate"/>
        </w:r>
        <w:r w:rsidR="00D233D3">
          <w:rPr>
            <w:rFonts w:eastAsia="Times New Roman" w:cs="Arial"/>
            <w:noProof/>
            <w:sz w:val="20"/>
            <w:szCs w:val="20"/>
          </w:rPr>
          <w:t>10</w:t>
        </w:r>
        <w:r w:rsidRPr="00334033">
          <w:rPr>
            <w:rFonts w:eastAsia="Times New Roman" w:cs="Arial"/>
            <w:sz w:val="20"/>
            <w:szCs w:val="20"/>
          </w:rPr>
          <w:fldChar w:fldCharType="end"/>
        </w:r>
      </w:p>
    </w:sdtContent>
  </w:sdt>
  <w:p w:rsidR="00334033" w:rsidRDefault="00334033">
    <w:pPr>
      <w:pStyle w:val="Pta"/>
    </w:pPr>
  </w:p>
  <w:p w:rsidR="008B5140" w:rsidRDefault="008B514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140" w:rsidRDefault="008B5140">
    <w:pPr>
      <w:pStyle w:val="Pta"/>
      <w:jc w:val="right"/>
    </w:pPr>
  </w:p>
  <w:p w:rsidR="008B5140" w:rsidRDefault="008B514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B2B" w:rsidRDefault="004F2B2B" w:rsidP="00EA2731">
      <w:pPr>
        <w:spacing w:after="0" w:line="240" w:lineRule="auto"/>
      </w:pPr>
      <w:r>
        <w:separator/>
      </w:r>
    </w:p>
  </w:footnote>
  <w:footnote w:type="continuationSeparator" w:id="0">
    <w:p w:rsidR="004F2B2B" w:rsidRDefault="004F2B2B" w:rsidP="00EA2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033" w:rsidRPr="00334033" w:rsidRDefault="00334033" w:rsidP="0033403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560"/>
        <w:tab w:val="left" w:pos="3969"/>
        <w:tab w:val="left" w:pos="7797"/>
      </w:tabs>
      <w:spacing w:after="0" w:line="240" w:lineRule="auto"/>
      <w:rPr>
        <w:rFonts w:eastAsia="Times New Roman"/>
        <w:sz w:val="20"/>
        <w:szCs w:val="20"/>
      </w:rPr>
    </w:pPr>
    <w:r w:rsidRPr="00334033">
      <w:rPr>
        <w:rFonts w:eastAsia="Times New Roman"/>
        <w:sz w:val="20"/>
        <w:szCs w:val="20"/>
      </w:rPr>
      <w:t>Národný program zdravotnej starostlivosti o pacientov so zriedkavými chorobami do roku 2030 s akčným plánom na roky 2021 – 2022</w:t>
    </w:r>
  </w:p>
  <w:p w:rsidR="00334033" w:rsidRDefault="00334033">
    <w:pPr>
      <w:pStyle w:val="Hlavika"/>
    </w:pPr>
  </w:p>
  <w:p w:rsidR="008B5140" w:rsidRPr="007D5D16" w:rsidRDefault="008B5140" w:rsidP="007D5D1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2BA23D4"/>
    <w:lvl w:ilvl="0">
      <w:numFmt w:val="bullet"/>
      <w:lvlText w:val="*"/>
      <w:lvlJc w:val="left"/>
    </w:lvl>
  </w:abstractNum>
  <w:abstractNum w:abstractNumId="1" w15:restartNumberingAfterBreak="0">
    <w:nsid w:val="04597E2E"/>
    <w:multiLevelType w:val="hybridMultilevel"/>
    <w:tmpl w:val="23CA7AEC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E077C"/>
    <w:multiLevelType w:val="hybridMultilevel"/>
    <w:tmpl w:val="A3AEBC7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83AA1"/>
    <w:multiLevelType w:val="hybridMultilevel"/>
    <w:tmpl w:val="D69EEDC6"/>
    <w:lvl w:ilvl="0" w:tplc="FBBCF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45B81"/>
    <w:multiLevelType w:val="multilevel"/>
    <w:tmpl w:val="7250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677513"/>
    <w:multiLevelType w:val="hybridMultilevel"/>
    <w:tmpl w:val="4C7A54EA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E6DE5"/>
    <w:multiLevelType w:val="hybridMultilevel"/>
    <w:tmpl w:val="91DE5A0E"/>
    <w:lvl w:ilvl="0" w:tplc="9CE4613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50C39"/>
    <w:multiLevelType w:val="hybridMultilevel"/>
    <w:tmpl w:val="78A279B4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3488E"/>
    <w:multiLevelType w:val="hybridMultilevel"/>
    <w:tmpl w:val="69B00FEE"/>
    <w:lvl w:ilvl="0" w:tplc="CBB8EB3E">
      <w:start w:val="1"/>
      <w:numFmt w:val="upperLetter"/>
      <w:pStyle w:val="Nadpis2"/>
      <w:lvlText w:val="%1."/>
      <w:lvlJc w:val="left"/>
      <w:pPr>
        <w:ind w:left="9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 w15:restartNumberingAfterBreak="0">
    <w:nsid w:val="6ADC412D"/>
    <w:multiLevelType w:val="hybridMultilevel"/>
    <w:tmpl w:val="315A98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27BEC"/>
    <w:multiLevelType w:val="hybridMultilevel"/>
    <w:tmpl w:val="49D01A7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pStyle w:val="Nadpis4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2" w15:restartNumberingAfterBreak="0">
    <w:nsid w:val="7C3F4191"/>
    <w:multiLevelType w:val="hybridMultilevel"/>
    <w:tmpl w:val="14509414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1"/>
  </w:num>
  <w:num w:numId="4">
    <w:abstractNumId w:val="3"/>
  </w:num>
  <w:num w:numId="5">
    <w:abstractNumId w:val="7"/>
  </w:num>
  <w:num w:numId="6">
    <w:abstractNumId w:val="12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8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7"/>
    </w:lvlOverride>
  </w:num>
  <w:num w:numId="15">
    <w:abstractNumId w:val="6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>
    <w:abstractNumId w:val="9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  <w:lvlOverride w:ilvl="0">
      <w:startOverride w:val="1"/>
    </w:lvlOverride>
  </w:num>
  <w:num w:numId="27">
    <w:abstractNumId w:val="8"/>
  </w:num>
  <w:num w:numId="28">
    <w:abstractNumId w:val="8"/>
    <w:lvlOverride w:ilvl="0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A8"/>
    <w:rsid w:val="0000071F"/>
    <w:rsid w:val="000105BA"/>
    <w:rsid w:val="00023371"/>
    <w:rsid w:val="00046450"/>
    <w:rsid w:val="00052FDF"/>
    <w:rsid w:val="00053174"/>
    <w:rsid w:val="000537DE"/>
    <w:rsid w:val="000849D3"/>
    <w:rsid w:val="00087454"/>
    <w:rsid w:val="00093F0A"/>
    <w:rsid w:val="000C4B0A"/>
    <w:rsid w:val="000D4F60"/>
    <w:rsid w:val="001175B1"/>
    <w:rsid w:val="00132CA1"/>
    <w:rsid w:val="00132CBE"/>
    <w:rsid w:val="00175F2E"/>
    <w:rsid w:val="0017617E"/>
    <w:rsid w:val="001A07A2"/>
    <w:rsid w:val="001B3CFF"/>
    <w:rsid w:val="001B642B"/>
    <w:rsid w:val="001C1053"/>
    <w:rsid w:val="001F2B9C"/>
    <w:rsid w:val="00233A18"/>
    <w:rsid w:val="00257EDD"/>
    <w:rsid w:val="00271232"/>
    <w:rsid w:val="0027265B"/>
    <w:rsid w:val="002804C2"/>
    <w:rsid w:val="00280F43"/>
    <w:rsid w:val="002871A8"/>
    <w:rsid w:val="002919BF"/>
    <w:rsid w:val="002945F8"/>
    <w:rsid w:val="00297ACC"/>
    <w:rsid w:val="002D07D7"/>
    <w:rsid w:val="002F2CAF"/>
    <w:rsid w:val="00327DE8"/>
    <w:rsid w:val="00334033"/>
    <w:rsid w:val="00357479"/>
    <w:rsid w:val="003574C6"/>
    <w:rsid w:val="00367CEC"/>
    <w:rsid w:val="00371448"/>
    <w:rsid w:val="003C34CF"/>
    <w:rsid w:val="003E7EC8"/>
    <w:rsid w:val="004250C6"/>
    <w:rsid w:val="004417C3"/>
    <w:rsid w:val="004616D4"/>
    <w:rsid w:val="0048129D"/>
    <w:rsid w:val="004828E7"/>
    <w:rsid w:val="00485B3F"/>
    <w:rsid w:val="0049459F"/>
    <w:rsid w:val="004D4673"/>
    <w:rsid w:val="004E62C2"/>
    <w:rsid w:val="004F2B2B"/>
    <w:rsid w:val="00507ED2"/>
    <w:rsid w:val="0051639E"/>
    <w:rsid w:val="00517926"/>
    <w:rsid w:val="0055426A"/>
    <w:rsid w:val="005E1428"/>
    <w:rsid w:val="00607655"/>
    <w:rsid w:val="00623D25"/>
    <w:rsid w:val="006705E2"/>
    <w:rsid w:val="006729C1"/>
    <w:rsid w:val="00676E9E"/>
    <w:rsid w:val="00681D32"/>
    <w:rsid w:val="006963C3"/>
    <w:rsid w:val="006A52D5"/>
    <w:rsid w:val="006A5D4C"/>
    <w:rsid w:val="006B436A"/>
    <w:rsid w:val="006C4A8D"/>
    <w:rsid w:val="006C6AD1"/>
    <w:rsid w:val="006E134E"/>
    <w:rsid w:val="006E19DA"/>
    <w:rsid w:val="006F0041"/>
    <w:rsid w:val="006F3DCB"/>
    <w:rsid w:val="0070792A"/>
    <w:rsid w:val="007343DD"/>
    <w:rsid w:val="007454ED"/>
    <w:rsid w:val="00754185"/>
    <w:rsid w:val="007A206C"/>
    <w:rsid w:val="007C5121"/>
    <w:rsid w:val="007D5D16"/>
    <w:rsid w:val="008111A7"/>
    <w:rsid w:val="008753ED"/>
    <w:rsid w:val="008A0C7B"/>
    <w:rsid w:val="008A7C19"/>
    <w:rsid w:val="008B5140"/>
    <w:rsid w:val="008D4269"/>
    <w:rsid w:val="008E150A"/>
    <w:rsid w:val="00957F3D"/>
    <w:rsid w:val="009954E8"/>
    <w:rsid w:val="009A10BB"/>
    <w:rsid w:val="009A5370"/>
    <w:rsid w:val="009D14AA"/>
    <w:rsid w:val="009D15BD"/>
    <w:rsid w:val="009E2B3F"/>
    <w:rsid w:val="00A25499"/>
    <w:rsid w:val="00A512FA"/>
    <w:rsid w:val="00AC25BA"/>
    <w:rsid w:val="00B02C31"/>
    <w:rsid w:val="00B154A4"/>
    <w:rsid w:val="00B27D40"/>
    <w:rsid w:val="00B61FC7"/>
    <w:rsid w:val="00B749B5"/>
    <w:rsid w:val="00BA4CBD"/>
    <w:rsid w:val="00BC7E3C"/>
    <w:rsid w:val="00C06274"/>
    <w:rsid w:val="00C17EE0"/>
    <w:rsid w:val="00C32BEE"/>
    <w:rsid w:val="00C4688B"/>
    <w:rsid w:val="00C639C6"/>
    <w:rsid w:val="00C67B4F"/>
    <w:rsid w:val="00C92AAE"/>
    <w:rsid w:val="00C951FE"/>
    <w:rsid w:val="00CF03B2"/>
    <w:rsid w:val="00CF7AE5"/>
    <w:rsid w:val="00D041FD"/>
    <w:rsid w:val="00D1005A"/>
    <w:rsid w:val="00D233D3"/>
    <w:rsid w:val="00D7480C"/>
    <w:rsid w:val="00D76ACB"/>
    <w:rsid w:val="00DA55C5"/>
    <w:rsid w:val="00DB333E"/>
    <w:rsid w:val="00DD20A8"/>
    <w:rsid w:val="00DE21B6"/>
    <w:rsid w:val="00DF1442"/>
    <w:rsid w:val="00E230DA"/>
    <w:rsid w:val="00E36813"/>
    <w:rsid w:val="00E50261"/>
    <w:rsid w:val="00E93EFC"/>
    <w:rsid w:val="00EA2731"/>
    <w:rsid w:val="00ED06D2"/>
    <w:rsid w:val="00ED6A65"/>
    <w:rsid w:val="00EE12B5"/>
    <w:rsid w:val="00EF580F"/>
    <w:rsid w:val="00F16947"/>
    <w:rsid w:val="00F4254B"/>
    <w:rsid w:val="00F446EF"/>
    <w:rsid w:val="00FB0A1C"/>
    <w:rsid w:val="00FC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5881A1-A820-4F49-8A8F-5B3C01C9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71A8"/>
    <w:pPr>
      <w:jc w:val="both"/>
    </w:pPr>
  </w:style>
  <w:style w:type="paragraph" w:styleId="Nadpis1">
    <w:name w:val="heading 1"/>
    <w:aliases w:val="Nadpis 1T,NADPIS,Heading 11111,Kapitola,H1,V_Head1,Main Section,MainHeader"/>
    <w:basedOn w:val="Normlny"/>
    <w:next w:val="Normlny"/>
    <w:link w:val="Nadpis1Char"/>
    <w:uiPriority w:val="9"/>
    <w:qFormat/>
    <w:rsid w:val="007D5D16"/>
    <w:pPr>
      <w:keepNext/>
      <w:spacing w:before="240" w:after="60" w:line="276" w:lineRule="auto"/>
      <w:ind w:left="720" w:hanging="180"/>
      <w:jc w:val="left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Nadpis2">
    <w:name w:val="heading 2"/>
    <w:aliases w:val="Nadpis 2T,Podnadpis,F2,F21,H2,Podkapitola1,hlavicka,h2,V_Head2"/>
    <w:basedOn w:val="Obsah2"/>
    <w:next w:val="Normlny"/>
    <w:link w:val="Nadpis2Char"/>
    <w:uiPriority w:val="9"/>
    <w:qFormat/>
    <w:rsid w:val="002871A8"/>
    <w:pPr>
      <w:keepNext/>
      <w:numPr>
        <w:numId w:val="11"/>
      </w:numPr>
      <w:spacing w:before="240" w:after="60" w:line="276" w:lineRule="auto"/>
      <w:jc w:val="left"/>
      <w:outlineLvl w:val="1"/>
    </w:pPr>
    <w:rPr>
      <w:rFonts w:ascii="Calibri" w:eastAsia="MS Gothic" w:hAnsi="Calibri" w:cs="Times New Roman"/>
      <w:b/>
      <w:bCs/>
      <w:iCs/>
      <w:sz w:val="28"/>
      <w:szCs w:val="28"/>
    </w:rPr>
  </w:style>
  <w:style w:type="paragraph" w:styleId="Nadpis3">
    <w:name w:val="heading 3"/>
    <w:aliases w:val="Záhlaví 3,V_Head3,V_Head31,V_Head32,Podkapitola2,H3,h3,h3 sub heading,(Alt+3),Table Attribute Heading,Heading C,sub Italic,proj3,proj31,proj32,proj33,proj34,proj35,proj36,proj37,proj38,proj39,proj310,proj311,proj312,proj321,proj331,proj341,b,2"/>
    <w:basedOn w:val="Normlny"/>
    <w:next w:val="Normlny"/>
    <w:link w:val="Nadpis3Char"/>
    <w:uiPriority w:val="99"/>
    <w:qFormat/>
    <w:rsid w:val="0000071F"/>
    <w:pPr>
      <w:keepNext/>
      <w:spacing w:before="240" w:after="60" w:line="276" w:lineRule="auto"/>
      <w:jc w:val="left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Nadpis4">
    <w:name w:val="heading 4"/>
    <w:aliases w:val="Podkapitola3,Aufgabe"/>
    <w:basedOn w:val="Normlny"/>
    <w:next w:val="Normlny"/>
    <w:link w:val="Nadpis4Char"/>
    <w:uiPriority w:val="9"/>
    <w:qFormat/>
    <w:rsid w:val="002871A8"/>
    <w:pPr>
      <w:keepNext/>
      <w:numPr>
        <w:ilvl w:val="3"/>
        <w:numId w:val="3"/>
      </w:numPr>
      <w:spacing w:before="240" w:after="60" w:line="276" w:lineRule="auto"/>
      <w:ind w:left="0" w:firstLine="0"/>
      <w:jc w:val="left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Nadpis 2T Char,Podnadpis Char,F2 Char,F21 Char,H2 Char,Podkapitola1 Char,hlavicka Char,h2 Char,V_Head2 Char"/>
    <w:basedOn w:val="Predvolenpsmoodseku"/>
    <w:link w:val="Nadpis2"/>
    <w:uiPriority w:val="9"/>
    <w:rsid w:val="002871A8"/>
    <w:rPr>
      <w:rFonts w:ascii="Calibri" w:eastAsia="MS Gothic" w:hAnsi="Calibri" w:cs="Times New Roman"/>
      <w:b/>
      <w:bCs/>
      <w:iCs/>
      <w:sz w:val="28"/>
      <w:szCs w:val="28"/>
    </w:rPr>
  </w:style>
  <w:style w:type="character" w:customStyle="1" w:styleId="Nadpis4Char">
    <w:name w:val="Nadpis 4 Char"/>
    <w:aliases w:val="Podkapitola3 Char,Aufgabe Char"/>
    <w:basedOn w:val="Predvolenpsmoodseku"/>
    <w:link w:val="Nadpis4"/>
    <w:uiPriority w:val="9"/>
    <w:rsid w:val="002871A8"/>
    <w:rPr>
      <w:rFonts w:ascii="Times New Roman" w:eastAsia="Calibri" w:hAnsi="Times New Roman" w:cs="Times New Roman"/>
      <w:b/>
      <w:bCs/>
      <w:sz w:val="28"/>
      <w:szCs w:val="28"/>
    </w:rPr>
  </w:style>
  <w:style w:type="paragraph" w:styleId="Obsah2">
    <w:name w:val="toc 2"/>
    <w:basedOn w:val="Normlny"/>
    <w:next w:val="Normlny"/>
    <w:autoRedefine/>
    <w:uiPriority w:val="39"/>
    <w:unhideWhenUsed/>
    <w:rsid w:val="002871A8"/>
    <w:pPr>
      <w:spacing w:after="100"/>
      <w:ind w:left="220"/>
    </w:pPr>
  </w:style>
  <w:style w:type="paragraph" w:customStyle="1" w:styleId="Normlny1">
    <w:name w:val="Normálny1"/>
    <w:rsid w:val="003574C6"/>
    <w:pPr>
      <w:spacing w:after="200" w:line="276" w:lineRule="auto"/>
    </w:pPr>
    <w:rPr>
      <w:rFonts w:ascii="Calibri" w:eastAsia="Calibri" w:hAnsi="Calibri" w:cs="Calibri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A2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2731"/>
  </w:style>
  <w:style w:type="paragraph" w:styleId="Pta">
    <w:name w:val="footer"/>
    <w:basedOn w:val="Normlny"/>
    <w:link w:val="PtaChar"/>
    <w:uiPriority w:val="99"/>
    <w:unhideWhenUsed/>
    <w:rsid w:val="00EA2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2731"/>
  </w:style>
  <w:style w:type="paragraph" w:customStyle="1" w:styleId="Default">
    <w:name w:val="Default"/>
    <w:rsid w:val="000849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aliases w:val="Nadpis 1T Char,NADPIS Char,Heading 11111 Char,Kapitola Char,H1 Char,V_Head1 Char,Main Section Char,MainHeader Char"/>
    <w:basedOn w:val="Predvolenpsmoodseku"/>
    <w:link w:val="Nadpis1"/>
    <w:uiPriority w:val="9"/>
    <w:rsid w:val="007D5D16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7D5D16"/>
    <w:pPr>
      <w:ind w:left="720"/>
      <w:contextualSpacing/>
    </w:pPr>
  </w:style>
  <w:style w:type="paragraph" w:styleId="Bezriadkovania">
    <w:name w:val="No Spacing"/>
    <w:uiPriority w:val="1"/>
    <w:qFormat/>
    <w:rsid w:val="007D5D16"/>
    <w:pPr>
      <w:spacing w:after="0" w:line="240" w:lineRule="auto"/>
      <w:jc w:val="both"/>
    </w:pPr>
  </w:style>
  <w:style w:type="table" w:styleId="Mriekatabuky">
    <w:name w:val="Table Grid"/>
    <w:basedOn w:val="Normlnatabuka"/>
    <w:rsid w:val="009954E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y"/>
    <w:next w:val="Normlny"/>
    <w:autoRedefine/>
    <w:uiPriority w:val="39"/>
    <w:unhideWhenUsed/>
    <w:rsid w:val="009954E8"/>
    <w:pPr>
      <w:spacing w:after="100"/>
    </w:pPr>
  </w:style>
  <w:style w:type="character" w:customStyle="1" w:styleId="Nadpis3Char">
    <w:name w:val="Nadpis 3 Char"/>
    <w:aliases w:val="Záhlaví 3 Char,V_Head3 Char,V_Head31 Char,V_Head32 Char,Podkapitola2 Char,H3 Char,h3 Char,h3 sub heading Char,(Alt+3) Char,Table Attribute Heading Char,Heading C Char,sub Italic Char,proj3 Char,proj31 Char,proj32 Char,proj33 Char,b Char"/>
    <w:basedOn w:val="Predvolenpsmoodseku"/>
    <w:link w:val="Nadpis3"/>
    <w:uiPriority w:val="99"/>
    <w:rsid w:val="0000071F"/>
    <w:rPr>
      <w:rFonts w:ascii="Arial" w:eastAsia="Calibri" w:hAnsi="Arial" w:cs="Arial"/>
      <w:b/>
      <w:bCs/>
      <w:sz w:val="26"/>
      <w:szCs w:val="26"/>
    </w:rPr>
  </w:style>
  <w:style w:type="paragraph" w:styleId="Obsah3">
    <w:name w:val="toc 3"/>
    <w:basedOn w:val="Normlny"/>
    <w:next w:val="Normlny"/>
    <w:autoRedefine/>
    <w:uiPriority w:val="39"/>
    <w:unhideWhenUsed/>
    <w:rsid w:val="0000071F"/>
    <w:pPr>
      <w:spacing w:after="100"/>
      <w:ind w:left="440"/>
    </w:pPr>
  </w:style>
  <w:style w:type="table" w:customStyle="1" w:styleId="Mriekatabuky1">
    <w:name w:val="Mriežka tabuľky1"/>
    <w:basedOn w:val="Normlnatabuka"/>
    <w:next w:val="Mriekatabuky"/>
    <w:rsid w:val="00B749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61FC7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2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academic.oup.com/aje/article/156/4/311/112516" TargetMode="External"/><Relationship Id="rId7" Type="http://schemas.openxmlformats.org/officeDocument/2006/relationships/hyperlink" Target="https://eu-rd-platform.jrc.ec.europa.eu/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;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javascript:;" TargetMode="External"/><Relationship Id="rId23" Type="http://schemas.openxmlformats.org/officeDocument/2006/relationships/header" Target="header1.xml"/><Relationship Id="rId28" Type="http://schemas.openxmlformats.org/officeDocument/2006/relationships/customXml" Target="../customXml/item1.xml"/><Relationship Id="rId10" Type="http://schemas.openxmlformats.org/officeDocument/2006/relationships/hyperlink" Target="https://www.nature.com/articles/gim200677" TargetMode="External"/><Relationship Id="rId19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https://academic.oup.com/aje/article/156/4/311/112516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704FF4FF09C449B3BA936E1A1364FF" ma:contentTypeVersion="2" ma:contentTypeDescription="Umožňuje vytvoriť nový dokument." ma:contentTypeScope="" ma:versionID="c2fcc25c7929622561c4d3d2321340f8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38035ace27c8e4ef67c30c214951b658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200457-7039-4166-8EA0-EBD46EA0DA23}"/>
</file>

<file path=customXml/itemProps2.xml><?xml version="1.0" encoding="utf-8"?>
<ds:datastoreItem xmlns:ds="http://schemas.openxmlformats.org/officeDocument/2006/customXml" ds:itemID="{E60BF5B1-FCD0-4FFC-90F6-72CD1258ED67}"/>
</file>

<file path=customXml/itemProps3.xml><?xml version="1.0" encoding="utf-8"?>
<ds:datastoreItem xmlns:ds="http://schemas.openxmlformats.org/officeDocument/2006/customXml" ds:itemID="{C32DA561-D95C-4BFC-9B9A-C91225A241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Hurná Monika</dc:creator>
  <cp:lastModifiedBy>Hurná Monika</cp:lastModifiedBy>
  <cp:revision>2</cp:revision>
  <cp:lastPrinted>2021-05-05T09:14:00Z</cp:lastPrinted>
  <dcterms:created xsi:type="dcterms:W3CDTF">2021-06-07T09:54:00Z</dcterms:created>
  <dcterms:modified xsi:type="dcterms:W3CDTF">2021-06-07T09:54:00Z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