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FA7D5" w14:textId="77777777" w:rsidR="006772A6" w:rsidRPr="00EB6D39" w:rsidRDefault="006772A6" w:rsidP="002E5CA3">
      <w:pPr>
        <w:spacing w:after="0" w:line="240" w:lineRule="auto"/>
        <w:jc w:val="center"/>
        <w:rPr>
          <w:rFonts w:ascii="Times New Roman" w:hAnsi="Times New Roman" w:cs="Times New Roman"/>
          <w:b/>
          <w:bCs/>
          <w:sz w:val="24"/>
          <w:szCs w:val="24"/>
        </w:rPr>
      </w:pPr>
      <w:r w:rsidRPr="00EB6D39">
        <w:rPr>
          <w:rFonts w:ascii="Times New Roman" w:hAnsi="Times New Roman" w:cs="Times New Roman"/>
          <w:b/>
          <w:bCs/>
          <w:sz w:val="24"/>
          <w:szCs w:val="24"/>
        </w:rPr>
        <w:t>Dôvodová správa</w:t>
      </w:r>
    </w:p>
    <w:p w14:paraId="714CD7A3" w14:textId="77777777" w:rsidR="006772A6" w:rsidRPr="00EB6D39" w:rsidRDefault="006772A6" w:rsidP="002E5CA3">
      <w:pPr>
        <w:spacing w:after="0" w:line="240" w:lineRule="auto"/>
        <w:jc w:val="both"/>
        <w:rPr>
          <w:rFonts w:ascii="Times New Roman" w:hAnsi="Times New Roman" w:cs="Times New Roman"/>
          <w:sz w:val="24"/>
          <w:szCs w:val="24"/>
        </w:rPr>
      </w:pPr>
    </w:p>
    <w:p w14:paraId="0221FCD8" w14:textId="67269FC8" w:rsidR="006772A6" w:rsidRPr="00EB6D39" w:rsidRDefault="006772A6" w:rsidP="00331236">
      <w:pPr>
        <w:pStyle w:val="Odsekzoznamu"/>
        <w:numPr>
          <w:ilvl w:val="0"/>
          <w:numId w:val="7"/>
        </w:numPr>
        <w:spacing w:after="0" w:line="240" w:lineRule="auto"/>
        <w:jc w:val="both"/>
        <w:rPr>
          <w:rFonts w:ascii="Times New Roman" w:hAnsi="Times New Roman" w:cs="Times New Roman"/>
          <w:i/>
          <w:iCs/>
          <w:sz w:val="24"/>
          <w:szCs w:val="24"/>
        </w:rPr>
      </w:pPr>
      <w:r w:rsidRPr="00EB6D39">
        <w:rPr>
          <w:rFonts w:ascii="Times New Roman" w:hAnsi="Times New Roman" w:cs="Times New Roman"/>
          <w:i/>
          <w:iCs/>
          <w:sz w:val="24"/>
          <w:szCs w:val="24"/>
        </w:rPr>
        <w:t>Osobitná časť</w:t>
      </w:r>
    </w:p>
    <w:p w14:paraId="6A254058" w14:textId="77777777" w:rsidR="00922B55" w:rsidRPr="00EB6D39" w:rsidRDefault="00922B55" w:rsidP="0043689D">
      <w:pPr>
        <w:spacing w:after="0" w:line="240" w:lineRule="auto"/>
        <w:jc w:val="both"/>
        <w:rPr>
          <w:rFonts w:ascii="Times New Roman" w:hAnsi="Times New Roman" w:cs="Times New Roman"/>
          <w:sz w:val="24"/>
          <w:szCs w:val="24"/>
        </w:rPr>
      </w:pPr>
    </w:p>
    <w:p w14:paraId="53FE3FED" w14:textId="47859155" w:rsidR="00CD2C88" w:rsidRPr="00EB6D39" w:rsidRDefault="00CD2C88" w:rsidP="0033123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Zdravotníctvo je kľúčovým pilierom verejnej politiky, ktorý priamo ovplyvňuje kvalitu života všetkých občanov a osobitne pacientov. Ultimátnym cieľom v oblasti zdravotníctva je zabezpečiť aby mal každý obyvateľ Slovenska spravodlivý prístup k zdravotnej starostlivosti pre všetkých, bez ohľadu na príjem alebo región. </w:t>
      </w:r>
    </w:p>
    <w:p w14:paraId="3D4DB252" w14:textId="77777777" w:rsidR="00331236" w:rsidRPr="00EB6D39" w:rsidRDefault="00331236" w:rsidP="00331236">
      <w:pPr>
        <w:spacing w:after="0" w:line="240" w:lineRule="auto"/>
        <w:ind w:firstLine="708"/>
        <w:jc w:val="both"/>
        <w:rPr>
          <w:rFonts w:ascii="Times New Roman" w:hAnsi="Times New Roman" w:cs="Times New Roman"/>
          <w:sz w:val="24"/>
          <w:szCs w:val="24"/>
        </w:rPr>
      </w:pPr>
    </w:p>
    <w:p w14:paraId="73D91919" w14:textId="364E0927" w:rsidR="00CD2C88" w:rsidRPr="00EB6D39" w:rsidRDefault="00CD2C88" w:rsidP="0033123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V záujme dosiahnutia tohto ultimátneho cieľa, Ministerstvo zdravotníctva S</w:t>
      </w:r>
      <w:r w:rsidR="00E95E14" w:rsidRPr="00EB6D39">
        <w:rPr>
          <w:rFonts w:ascii="Times New Roman" w:hAnsi="Times New Roman" w:cs="Times New Roman"/>
          <w:sz w:val="24"/>
          <w:szCs w:val="24"/>
        </w:rPr>
        <w:t>lovenskej republiky</w:t>
      </w:r>
      <w:r w:rsidRPr="00EB6D39">
        <w:rPr>
          <w:rFonts w:ascii="Times New Roman" w:hAnsi="Times New Roman" w:cs="Times New Roman"/>
          <w:sz w:val="24"/>
          <w:szCs w:val="24"/>
        </w:rPr>
        <w:t>, ako organizátor vzťahov v systéme poskytovania zdravotnej starostlivosti, vytvára priestor na:</w:t>
      </w:r>
    </w:p>
    <w:p w14:paraId="6AA4D7A7" w14:textId="5B433753"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zlepšovanie podmienok poskytovania zdravotnej starostlivosti pre slovenskú populáciu;</w:t>
      </w:r>
    </w:p>
    <w:p w14:paraId="50F2205F" w14:textId="3851633B"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implementáciu nástrojov pre optimalizáciu nákladov na poskytovanie zdravotnej starostlivosti tak, aby bola z disponibilných zdrojov zabezpečená maximálna m</w:t>
      </w:r>
      <w:r w:rsidR="00C73DA7" w:rsidRPr="00EB6D39">
        <w:rPr>
          <w:rFonts w:ascii="Times New Roman" w:hAnsi="Times New Roman" w:cs="Times New Roman"/>
          <w:sz w:val="24"/>
          <w:szCs w:val="24"/>
        </w:rPr>
        <w:t>ožná starostlivosť pre pacienta,</w:t>
      </w:r>
    </w:p>
    <w:p w14:paraId="73D0BC44" w14:textId="6531E195"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znižovanie tlaku na financovanie zdravotnej starostlivosti pri zabezpečení ústavných práv obyvateľov</w:t>
      </w:r>
      <w:r w:rsidR="00C73DA7" w:rsidRPr="00EB6D39">
        <w:rPr>
          <w:rFonts w:ascii="Times New Roman" w:hAnsi="Times New Roman" w:cs="Times New Roman"/>
          <w:sz w:val="24"/>
          <w:szCs w:val="24"/>
        </w:rPr>
        <w:t>,</w:t>
      </w:r>
      <w:r w:rsidRPr="00EB6D39">
        <w:rPr>
          <w:rFonts w:ascii="Times New Roman" w:hAnsi="Times New Roman" w:cs="Times New Roman"/>
          <w:sz w:val="24"/>
          <w:szCs w:val="24"/>
        </w:rPr>
        <w:t xml:space="preserve"> a</w:t>
      </w:r>
    </w:p>
    <w:p w14:paraId="29D38227" w14:textId="474AEF44"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zabezpečovanie komplexnej dostupnosti zdravotnej starostlivosti.</w:t>
      </w:r>
    </w:p>
    <w:p w14:paraId="11F586DE" w14:textId="77777777" w:rsidR="00E4209F" w:rsidRPr="00EB6D39" w:rsidRDefault="00E4209F" w:rsidP="002E5CA3">
      <w:pPr>
        <w:spacing w:after="0" w:line="240" w:lineRule="auto"/>
        <w:jc w:val="both"/>
        <w:rPr>
          <w:rFonts w:ascii="Times New Roman" w:hAnsi="Times New Roman" w:cs="Times New Roman"/>
          <w:sz w:val="24"/>
          <w:szCs w:val="24"/>
        </w:rPr>
      </w:pPr>
    </w:p>
    <w:p w14:paraId="79C0E0A0" w14:textId="2F66B333" w:rsidR="00CD2C88" w:rsidRPr="00EB6D39" w:rsidRDefault="00CD2C88" w:rsidP="0033123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Na základe hĺbkovej analýzy finančných tokov v systéme poskytovania zdravotnej starostlivosti bolo, okrem iného, preukázané, že:</w:t>
      </w:r>
    </w:p>
    <w:p w14:paraId="1BFE851A" w14:textId="5A93AECC"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od roku 2019 do roku 202</w:t>
      </w:r>
      <w:r w:rsidR="00037F51" w:rsidRPr="00EB6D39">
        <w:rPr>
          <w:rFonts w:ascii="Times New Roman" w:hAnsi="Times New Roman" w:cs="Times New Roman"/>
          <w:sz w:val="24"/>
          <w:szCs w:val="24"/>
        </w:rPr>
        <w:t>4</w:t>
      </w:r>
      <w:r w:rsidRPr="00EB6D39">
        <w:rPr>
          <w:rFonts w:ascii="Times New Roman" w:hAnsi="Times New Roman" w:cs="Times New Roman"/>
          <w:sz w:val="24"/>
          <w:szCs w:val="24"/>
        </w:rPr>
        <w:t xml:space="preserve"> sa zdroje na financovanie celej zdravotnej starostlivosti zvýšili z 4,91 mld. eur na </w:t>
      </w:r>
      <w:r w:rsidR="00037F51" w:rsidRPr="00EB6D39">
        <w:rPr>
          <w:rFonts w:ascii="Times New Roman" w:hAnsi="Times New Roman" w:cs="Times New Roman"/>
          <w:sz w:val="24"/>
          <w:szCs w:val="24"/>
        </w:rPr>
        <w:t>7</w:t>
      </w:r>
      <w:r w:rsidRPr="00EB6D39">
        <w:rPr>
          <w:rFonts w:ascii="Times New Roman" w:hAnsi="Times New Roman" w:cs="Times New Roman"/>
          <w:sz w:val="24"/>
          <w:szCs w:val="24"/>
        </w:rPr>
        <w:t>,9</w:t>
      </w:r>
      <w:r w:rsidR="00037F51" w:rsidRPr="00EB6D39">
        <w:rPr>
          <w:rFonts w:ascii="Times New Roman" w:hAnsi="Times New Roman" w:cs="Times New Roman"/>
          <w:sz w:val="24"/>
          <w:szCs w:val="24"/>
        </w:rPr>
        <w:t>1</w:t>
      </w:r>
      <w:r w:rsidRPr="00EB6D39">
        <w:rPr>
          <w:rFonts w:ascii="Times New Roman" w:hAnsi="Times New Roman" w:cs="Times New Roman"/>
          <w:sz w:val="24"/>
          <w:szCs w:val="24"/>
        </w:rPr>
        <w:t xml:space="preserve"> mld. eur (teda o </w:t>
      </w:r>
      <w:r w:rsidR="00037F51" w:rsidRPr="00EB6D39">
        <w:rPr>
          <w:rFonts w:ascii="Times New Roman" w:hAnsi="Times New Roman" w:cs="Times New Roman"/>
          <w:sz w:val="24"/>
          <w:szCs w:val="24"/>
        </w:rPr>
        <w:t>61</w:t>
      </w:r>
      <w:r w:rsidR="00C73DA7" w:rsidRPr="00EB6D39">
        <w:rPr>
          <w:rFonts w:ascii="Times New Roman" w:hAnsi="Times New Roman" w:cs="Times New Roman"/>
          <w:sz w:val="24"/>
          <w:szCs w:val="24"/>
        </w:rPr>
        <w:t>%),</w:t>
      </w:r>
    </w:p>
    <w:p w14:paraId="093E4153" w14:textId="42E51BE4"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financovanie ústavnej zdravotnej starostlivosti sa od roku 2019 do roku 2024 zvýšilo z 1,45 mld. eu</w:t>
      </w:r>
      <w:r w:rsidR="00C73DA7" w:rsidRPr="00EB6D39">
        <w:rPr>
          <w:rFonts w:ascii="Times New Roman" w:hAnsi="Times New Roman" w:cs="Times New Roman"/>
          <w:sz w:val="24"/>
          <w:szCs w:val="24"/>
        </w:rPr>
        <w:t>r na 2,78 mld. eur (teda o 92%),</w:t>
      </w:r>
    </w:p>
    <w:p w14:paraId="345CD5FC" w14:textId="485C42C7"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financovanie liekov a dietetických potravín sa od roku 2019 do roku 2024 zvýšilo z 1,09 mld. eu</w:t>
      </w:r>
      <w:r w:rsidR="00C73DA7" w:rsidRPr="00EB6D39">
        <w:rPr>
          <w:rFonts w:ascii="Times New Roman" w:hAnsi="Times New Roman" w:cs="Times New Roman"/>
          <w:sz w:val="24"/>
          <w:szCs w:val="24"/>
        </w:rPr>
        <w:t>r na 1,67 mld. eur (teda o 53%),</w:t>
      </w:r>
    </w:p>
    <w:p w14:paraId="6889ED4D" w14:textId="0472ACFC"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financovanie špecializovanej ambulantnej starostlivosti sa od roku 2019 do roku 2024 zvýšilo z 997 mil. eu</w:t>
      </w:r>
      <w:r w:rsidR="00C73DA7" w:rsidRPr="00EB6D39">
        <w:rPr>
          <w:rFonts w:ascii="Times New Roman" w:hAnsi="Times New Roman" w:cs="Times New Roman"/>
          <w:sz w:val="24"/>
          <w:szCs w:val="24"/>
        </w:rPr>
        <w:t>r na 1,43 mld. eur (teda o 43%),</w:t>
      </w:r>
      <w:r w:rsidRPr="00EB6D39">
        <w:rPr>
          <w:rFonts w:ascii="Times New Roman" w:hAnsi="Times New Roman" w:cs="Times New Roman"/>
          <w:sz w:val="24"/>
          <w:szCs w:val="24"/>
        </w:rPr>
        <w:t xml:space="preserve"> a</w:t>
      </w:r>
    </w:p>
    <w:p w14:paraId="2D4A3E37" w14:textId="65DF06D4" w:rsidR="00CD2C88" w:rsidRPr="00EB6D39" w:rsidRDefault="00CD2C88"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financovanie všeobecnej ambulantnej starostlivosti sa od roku 2019 do roku 2024 zvýšilo z 290 mil. eur na 469 mil. eur (teda o 62%).</w:t>
      </w:r>
    </w:p>
    <w:p w14:paraId="27B2EF7E" w14:textId="77777777" w:rsidR="00E4209F" w:rsidRPr="00EB6D39" w:rsidRDefault="00E4209F" w:rsidP="002E5CA3">
      <w:pPr>
        <w:spacing w:after="0" w:line="240" w:lineRule="auto"/>
        <w:jc w:val="both"/>
        <w:rPr>
          <w:rFonts w:ascii="Times New Roman" w:hAnsi="Times New Roman" w:cs="Times New Roman"/>
          <w:sz w:val="24"/>
          <w:szCs w:val="24"/>
        </w:rPr>
      </w:pPr>
    </w:p>
    <w:p w14:paraId="1310CCC3" w14:textId="32226156" w:rsidR="00FF727E" w:rsidRPr="00EB6D39" w:rsidRDefault="00FF727E" w:rsidP="0033123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S ohľadom na pokračujúci proces konsolidácie verejných financií a zverejnenú </w:t>
      </w:r>
      <w:r w:rsidR="00E4209F" w:rsidRPr="00EB6D39">
        <w:rPr>
          <w:rFonts w:ascii="Times New Roman" w:hAnsi="Times New Roman" w:cs="Times New Roman"/>
          <w:sz w:val="24"/>
          <w:szCs w:val="24"/>
        </w:rPr>
        <w:t xml:space="preserve">aktuálnu prognózu Výboru pre daňové prognózy </w:t>
      </w:r>
      <w:r w:rsidRPr="00EB6D39">
        <w:rPr>
          <w:rFonts w:ascii="Times New Roman" w:hAnsi="Times New Roman" w:cs="Times New Roman"/>
          <w:sz w:val="24"/>
          <w:szCs w:val="24"/>
        </w:rPr>
        <w:t xml:space="preserve">bol stanovený limit výdavkov na zdravotnú starostlivosť v sume </w:t>
      </w:r>
      <w:r w:rsidR="00E4209F" w:rsidRPr="00EB6D39">
        <w:rPr>
          <w:rFonts w:ascii="Times New Roman" w:hAnsi="Times New Roman" w:cs="Times New Roman"/>
          <w:sz w:val="24"/>
          <w:szCs w:val="24"/>
        </w:rPr>
        <w:t>8,303 mld.</w:t>
      </w:r>
      <w:r w:rsidRPr="00EB6D39">
        <w:rPr>
          <w:rFonts w:ascii="Times New Roman" w:hAnsi="Times New Roman" w:cs="Times New Roman"/>
          <w:sz w:val="24"/>
          <w:szCs w:val="24"/>
        </w:rPr>
        <w:t xml:space="preserve"> eur.</w:t>
      </w:r>
    </w:p>
    <w:p w14:paraId="7061989C" w14:textId="77777777" w:rsidR="00E4209F" w:rsidRPr="00EB6D39" w:rsidRDefault="00E4209F" w:rsidP="002E5CA3">
      <w:pPr>
        <w:spacing w:after="0" w:line="240" w:lineRule="auto"/>
        <w:jc w:val="both"/>
        <w:rPr>
          <w:rFonts w:ascii="Times New Roman" w:hAnsi="Times New Roman" w:cs="Times New Roman"/>
          <w:sz w:val="24"/>
          <w:szCs w:val="24"/>
        </w:rPr>
      </w:pPr>
    </w:p>
    <w:p w14:paraId="4EE81575" w14:textId="3ED80151" w:rsidR="00C906F8" w:rsidRPr="00EB6D39" w:rsidRDefault="00C906F8" w:rsidP="00C906F8">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Rozpočet verejného zdravotného poistenia (ďalej len „VZP“) na roky 2025 až 2027 medziročne </w:t>
      </w:r>
      <w:r w:rsidR="001039A1" w:rsidRPr="00EB6D39">
        <w:rPr>
          <w:rFonts w:ascii="Times New Roman" w:hAnsi="Times New Roman" w:cs="Times New Roman"/>
          <w:sz w:val="24"/>
          <w:szCs w:val="24"/>
        </w:rPr>
        <w:t xml:space="preserve">medzi rozpočtom 2024 a rozpočtom 2025 </w:t>
      </w:r>
      <w:r w:rsidRPr="00EB6D39">
        <w:rPr>
          <w:rFonts w:ascii="Times New Roman" w:hAnsi="Times New Roman" w:cs="Times New Roman"/>
          <w:sz w:val="24"/>
          <w:szCs w:val="24"/>
        </w:rPr>
        <w:t xml:space="preserve">navyšuje zdroje v rezorte o </w:t>
      </w:r>
      <w:r w:rsidR="00922B55" w:rsidRPr="00EB6D39">
        <w:rPr>
          <w:rFonts w:ascii="Times New Roman" w:hAnsi="Times New Roman" w:cs="Times New Roman"/>
          <w:sz w:val="24"/>
          <w:szCs w:val="24"/>
        </w:rPr>
        <w:t>7</w:t>
      </w:r>
      <w:r w:rsidRPr="00EB6D39">
        <w:rPr>
          <w:rFonts w:ascii="Times New Roman" w:hAnsi="Times New Roman" w:cs="Times New Roman"/>
          <w:sz w:val="24"/>
          <w:szCs w:val="24"/>
        </w:rPr>
        <w:t>,</w:t>
      </w:r>
      <w:r w:rsidR="00922B55" w:rsidRPr="00EB6D39">
        <w:rPr>
          <w:rFonts w:ascii="Times New Roman" w:hAnsi="Times New Roman" w:cs="Times New Roman"/>
          <w:sz w:val="24"/>
          <w:szCs w:val="24"/>
        </w:rPr>
        <w:t>06</w:t>
      </w:r>
      <w:r w:rsidRPr="00EB6D39">
        <w:rPr>
          <w:rFonts w:ascii="Times New Roman" w:hAnsi="Times New Roman" w:cs="Times New Roman"/>
          <w:sz w:val="24"/>
          <w:szCs w:val="24"/>
        </w:rPr>
        <w:t xml:space="preserve"> %. Hlavnými zdrojmi príjmu zostávajú odvody ekonomicky aktívneho obyvateľstva (ďalej </w:t>
      </w:r>
      <w:r w:rsidR="00365C5E" w:rsidRPr="00EB6D39">
        <w:rPr>
          <w:rFonts w:ascii="Times New Roman" w:hAnsi="Times New Roman" w:cs="Times New Roman"/>
          <w:sz w:val="24"/>
          <w:szCs w:val="24"/>
        </w:rPr>
        <w:t>len</w:t>
      </w:r>
      <w:r w:rsidRPr="00EB6D39">
        <w:rPr>
          <w:rFonts w:ascii="Times New Roman" w:hAnsi="Times New Roman" w:cs="Times New Roman"/>
          <w:sz w:val="24"/>
          <w:szCs w:val="24"/>
        </w:rPr>
        <w:t xml:space="preserve"> „EAO“) a platba štátu za jeho poistencov.</w:t>
      </w:r>
    </w:p>
    <w:p w14:paraId="05DA6E65" w14:textId="77777777" w:rsidR="00922B55" w:rsidRPr="00EB6D39" w:rsidRDefault="00922B55" w:rsidP="00922B55">
      <w:pPr>
        <w:spacing w:after="0" w:line="240" w:lineRule="auto"/>
        <w:jc w:val="both"/>
        <w:rPr>
          <w:rFonts w:ascii="Times New Roman" w:hAnsi="Times New Roman" w:cs="Times New Roman"/>
          <w:sz w:val="24"/>
          <w:szCs w:val="24"/>
        </w:rPr>
      </w:pPr>
    </w:p>
    <w:p w14:paraId="489FD0D9" w14:textId="6E3BC3FB" w:rsidR="00922B55" w:rsidRPr="00663746" w:rsidRDefault="00922B55" w:rsidP="00922B55">
      <w:pPr>
        <w:spacing w:after="0" w:line="240" w:lineRule="auto"/>
        <w:jc w:val="both"/>
        <w:rPr>
          <w:rFonts w:ascii="Times New Roman" w:hAnsi="Times New Roman" w:cs="Times New Roman"/>
          <w:b/>
          <w:bCs/>
        </w:rPr>
      </w:pPr>
      <w:r w:rsidRPr="00663746">
        <w:rPr>
          <w:rFonts w:ascii="Times New Roman" w:hAnsi="Times New Roman" w:cs="Times New Roman"/>
          <w:b/>
          <w:bCs/>
        </w:rPr>
        <w:t>Tabuľka 1: Vývoj zdrojov verejného zdravotného poistenia (v tis. eur)</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992"/>
        <w:gridCol w:w="992"/>
        <w:gridCol w:w="993"/>
        <w:gridCol w:w="992"/>
        <w:gridCol w:w="992"/>
        <w:gridCol w:w="880"/>
        <w:gridCol w:w="963"/>
        <w:gridCol w:w="992"/>
      </w:tblGrid>
      <w:tr w:rsidR="00EB6D39" w:rsidRPr="00EB6D39" w14:paraId="5681F98F" w14:textId="77777777" w:rsidTr="00922B55">
        <w:trPr>
          <w:trHeight w:val="684"/>
        </w:trPr>
        <w:tc>
          <w:tcPr>
            <w:tcW w:w="1560" w:type="dxa"/>
            <w:shd w:val="clear" w:color="000000" w:fill="FFFFFF"/>
            <w:noWrap/>
            <w:vAlign w:val="center"/>
            <w:hideMark/>
          </w:tcPr>
          <w:p w14:paraId="2765A74E" w14:textId="77777777" w:rsidR="00922B55" w:rsidRPr="00EB6D39" w:rsidRDefault="00922B55" w:rsidP="00922B5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w:t>
            </w:r>
          </w:p>
        </w:tc>
        <w:tc>
          <w:tcPr>
            <w:tcW w:w="992" w:type="dxa"/>
            <w:shd w:val="clear" w:color="000000" w:fill="FFFFFF"/>
            <w:noWrap/>
            <w:vAlign w:val="center"/>
            <w:hideMark/>
          </w:tcPr>
          <w:p w14:paraId="01D01DCD"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2022 S</w:t>
            </w:r>
          </w:p>
        </w:tc>
        <w:tc>
          <w:tcPr>
            <w:tcW w:w="992" w:type="dxa"/>
            <w:shd w:val="clear" w:color="000000" w:fill="FFFFFF"/>
            <w:noWrap/>
            <w:vAlign w:val="center"/>
            <w:hideMark/>
          </w:tcPr>
          <w:p w14:paraId="2813F95F"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2023 S</w:t>
            </w:r>
          </w:p>
        </w:tc>
        <w:tc>
          <w:tcPr>
            <w:tcW w:w="993" w:type="dxa"/>
            <w:shd w:val="clear" w:color="000000" w:fill="FFFFFF"/>
            <w:noWrap/>
            <w:vAlign w:val="center"/>
            <w:hideMark/>
          </w:tcPr>
          <w:p w14:paraId="21527853"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2024 R</w:t>
            </w:r>
          </w:p>
        </w:tc>
        <w:tc>
          <w:tcPr>
            <w:tcW w:w="992" w:type="dxa"/>
            <w:shd w:val="clear" w:color="000000" w:fill="FFFFFF"/>
            <w:noWrap/>
            <w:vAlign w:val="center"/>
            <w:hideMark/>
          </w:tcPr>
          <w:p w14:paraId="73DEC537"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2024 OS</w:t>
            </w:r>
          </w:p>
        </w:tc>
        <w:tc>
          <w:tcPr>
            <w:tcW w:w="992" w:type="dxa"/>
            <w:shd w:val="clear" w:color="000000" w:fill="FFFFFF"/>
            <w:noWrap/>
            <w:vAlign w:val="center"/>
            <w:hideMark/>
          </w:tcPr>
          <w:p w14:paraId="4440D09B"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2025 R</w:t>
            </w:r>
          </w:p>
        </w:tc>
        <w:tc>
          <w:tcPr>
            <w:tcW w:w="880" w:type="dxa"/>
            <w:shd w:val="clear" w:color="000000" w:fill="FFFFFF"/>
            <w:noWrap/>
            <w:vAlign w:val="center"/>
            <w:hideMark/>
          </w:tcPr>
          <w:p w14:paraId="058FAD71"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2025 OS</w:t>
            </w:r>
          </w:p>
        </w:tc>
        <w:tc>
          <w:tcPr>
            <w:tcW w:w="963" w:type="dxa"/>
            <w:shd w:val="clear" w:color="000000" w:fill="FFFFFF"/>
            <w:noWrap/>
            <w:vAlign w:val="center"/>
            <w:hideMark/>
          </w:tcPr>
          <w:p w14:paraId="73FD8770"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2026 N</w:t>
            </w:r>
          </w:p>
        </w:tc>
        <w:tc>
          <w:tcPr>
            <w:tcW w:w="992" w:type="dxa"/>
            <w:shd w:val="clear" w:color="000000" w:fill="FFFFFF"/>
            <w:noWrap/>
            <w:vAlign w:val="center"/>
            <w:hideMark/>
          </w:tcPr>
          <w:p w14:paraId="6041C726" w14:textId="77777777" w:rsidR="00922B55" w:rsidRPr="00EB6D39" w:rsidRDefault="00922B55" w:rsidP="00922B5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2027 N</w:t>
            </w:r>
          </w:p>
        </w:tc>
      </w:tr>
      <w:tr w:rsidR="00EB6D39" w:rsidRPr="00EB6D39" w14:paraId="5712F860" w14:textId="77777777" w:rsidTr="00922B55">
        <w:trPr>
          <w:trHeight w:val="308"/>
        </w:trPr>
        <w:tc>
          <w:tcPr>
            <w:tcW w:w="1560" w:type="dxa"/>
            <w:shd w:val="clear" w:color="000000" w:fill="FFFFFF"/>
            <w:noWrap/>
            <w:vAlign w:val="center"/>
            <w:hideMark/>
          </w:tcPr>
          <w:p w14:paraId="534FCD59" w14:textId="77777777"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EAO</w:t>
            </w:r>
          </w:p>
        </w:tc>
        <w:tc>
          <w:tcPr>
            <w:tcW w:w="992" w:type="dxa"/>
            <w:shd w:val="clear" w:color="000000" w:fill="FFFFFF"/>
            <w:noWrap/>
            <w:vAlign w:val="center"/>
            <w:hideMark/>
          </w:tcPr>
          <w:p w14:paraId="3785A679"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4 688 772</w:t>
            </w:r>
          </w:p>
        </w:tc>
        <w:tc>
          <w:tcPr>
            <w:tcW w:w="992" w:type="dxa"/>
            <w:shd w:val="clear" w:color="000000" w:fill="FFFFFF"/>
            <w:noWrap/>
            <w:vAlign w:val="center"/>
            <w:hideMark/>
          </w:tcPr>
          <w:p w14:paraId="1D50535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5 138 679</w:t>
            </w:r>
          </w:p>
        </w:tc>
        <w:tc>
          <w:tcPr>
            <w:tcW w:w="993" w:type="dxa"/>
            <w:shd w:val="clear" w:color="000000" w:fill="FFFFFF"/>
            <w:noWrap/>
            <w:vAlign w:val="center"/>
            <w:hideMark/>
          </w:tcPr>
          <w:p w14:paraId="2D98F85C"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5 908 132</w:t>
            </w:r>
          </w:p>
        </w:tc>
        <w:tc>
          <w:tcPr>
            <w:tcW w:w="992" w:type="dxa"/>
            <w:shd w:val="clear" w:color="000000" w:fill="FFFFFF"/>
            <w:noWrap/>
            <w:vAlign w:val="center"/>
            <w:hideMark/>
          </w:tcPr>
          <w:p w14:paraId="607CA229"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5 820 534</w:t>
            </w:r>
          </w:p>
        </w:tc>
        <w:tc>
          <w:tcPr>
            <w:tcW w:w="992" w:type="dxa"/>
            <w:shd w:val="clear" w:color="000000" w:fill="FFFFFF"/>
            <w:noWrap/>
            <w:vAlign w:val="center"/>
            <w:hideMark/>
          </w:tcPr>
          <w:p w14:paraId="2865D656"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6 219 015</w:t>
            </w:r>
          </w:p>
        </w:tc>
        <w:tc>
          <w:tcPr>
            <w:tcW w:w="880" w:type="dxa"/>
            <w:shd w:val="clear" w:color="000000" w:fill="FFFFFF"/>
            <w:noWrap/>
            <w:vAlign w:val="center"/>
            <w:hideMark/>
          </w:tcPr>
          <w:p w14:paraId="65DC7A1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6 207 289</w:t>
            </w:r>
          </w:p>
        </w:tc>
        <w:tc>
          <w:tcPr>
            <w:tcW w:w="963" w:type="dxa"/>
            <w:shd w:val="clear" w:color="000000" w:fill="FFFFFF"/>
            <w:noWrap/>
            <w:vAlign w:val="center"/>
            <w:hideMark/>
          </w:tcPr>
          <w:p w14:paraId="564547F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6 546 038</w:t>
            </w:r>
          </w:p>
        </w:tc>
        <w:tc>
          <w:tcPr>
            <w:tcW w:w="992" w:type="dxa"/>
            <w:shd w:val="clear" w:color="000000" w:fill="FFFFFF"/>
            <w:noWrap/>
            <w:vAlign w:val="center"/>
            <w:hideMark/>
          </w:tcPr>
          <w:p w14:paraId="3AE750C9"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6 877 672</w:t>
            </w:r>
          </w:p>
        </w:tc>
      </w:tr>
      <w:tr w:rsidR="00EB6D39" w:rsidRPr="00EB6D39" w14:paraId="7B5A43B7" w14:textId="77777777" w:rsidTr="00922B55">
        <w:trPr>
          <w:trHeight w:val="269"/>
        </w:trPr>
        <w:tc>
          <w:tcPr>
            <w:tcW w:w="1560" w:type="dxa"/>
            <w:shd w:val="clear" w:color="000000" w:fill="FFFFFF"/>
            <w:noWrap/>
            <w:vAlign w:val="center"/>
            <w:hideMark/>
          </w:tcPr>
          <w:p w14:paraId="0DCF4E0C" w14:textId="77777777"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RZZP s EAO</w:t>
            </w:r>
          </w:p>
        </w:tc>
        <w:tc>
          <w:tcPr>
            <w:tcW w:w="992" w:type="dxa"/>
            <w:shd w:val="clear" w:color="000000" w:fill="FFFFFF"/>
            <w:noWrap/>
            <w:vAlign w:val="center"/>
            <w:hideMark/>
          </w:tcPr>
          <w:p w14:paraId="64F1EDA9"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2" w:type="dxa"/>
            <w:shd w:val="clear" w:color="000000" w:fill="FFFFFF"/>
            <w:noWrap/>
            <w:vAlign w:val="center"/>
            <w:hideMark/>
          </w:tcPr>
          <w:p w14:paraId="30375B4A"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47 174</w:t>
            </w:r>
          </w:p>
        </w:tc>
        <w:tc>
          <w:tcPr>
            <w:tcW w:w="993" w:type="dxa"/>
            <w:shd w:val="clear" w:color="000000" w:fill="FFFFFF"/>
            <w:noWrap/>
            <w:vAlign w:val="center"/>
            <w:hideMark/>
          </w:tcPr>
          <w:p w14:paraId="56B5F921"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2" w:type="dxa"/>
            <w:shd w:val="clear" w:color="000000" w:fill="FFFFFF"/>
            <w:noWrap/>
            <w:vAlign w:val="center"/>
            <w:hideMark/>
          </w:tcPr>
          <w:p w14:paraId="1E233943"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49 571</w:t>
            </w:r>
          </w:p>
        </w:tc>
        <w:tc>
          <w:tcPr>
            <w:tcW w:w="992" w:type="dxa"/>
            <w:shd w:val="clear" w:color="000000" w:fill="FFFFFF"/>
            <w:noWrap/>
            <w:vAlign w:val="center"/>
            <w:hideMark/>
          </w:tcPr>
          <w:p w14:paraId="485883C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46 353</w:t>
            </w:r>
          </w:p>
        </w:tc>
        <w:tc>
          <w:tcPr>
            <w:tcW w:w="880" w:type="dxa"/>
            <w:shd w:val="clear" w:color="000000" w:fill="FFFFFF"/>
            <w:noWrap/>
            <w:vAlign w:val="center"/>
            <w:hideMark/>
          </w:tcPr>
          <w:p w14:paraId="06C3306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49 761</w:t>
            </w:r>
          </w:p>
        </w:tc>
        <w:tc>
          <w:tcPr>
            <w:tcW w:w="963" w:type="dxa"/>
            <w:shd w:val="clear" w:color="000000" w:fill="FFFFFF"/>
            <w:noWrap/>
            <w:vAlign w:val="center"/>
            <w:hideMark/>
          </w:tcPr>
          <w:p w14:paraId="09237B44"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48 888</w:t>
            </w:r>
          </w:p>
        </w:tc>
        <w:tc>
          <w:tcPr>
            <w:tcW w:w="992" w:type="dxa"/>
            <w:shd w:val="clear" w:color="000000" w:fill="FFFFFF"/>
            <w:noWrap/>
            <w:vAlign w:val="center"/>
            <w:hideMark/>
          </w:tcPr>
          <w:p w14:paraId="313C8F82"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47 151</w:t>
            </w:r>
          </w:p>
        </w:tc>
      </w:tr>
      <w:tr w:rsidR="00EB6D39" w:rsidRPr="00EB6D39" w14:paraId="2CB252C3" w14:textId="77777777" w:rsidTr="00922B55">
        <w:trPr>
          <w:trHeight w:val="286"/>
        </w:trPr>
        <w:tc>
          <w:tcPr>
            <w:tcW w:w="1560" w:type="dxa"/>
            <w:shd w:val="clear" w:color="000000" w:fill="FFFFFF"/>
            <w:noWrap/>
            <w:vAlign w:val="center"/>
            <w:hideMark/>
          </w:tcPr>
          <w:p w14:paraId="50E4CD59" w14:textId="0034028A"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Platba štátu preddavky</w:t>
            </w:r>
          </w:p>
        </w:tc>
        <w:tc>
          <w:tcPr>
            <w:tcW w:w="992" w:type="dxa"/>
            <w:shd w:val="clear" w:color="000000" w:fill="FFFFFF"/>
            <w:noWrap/>
            <w:vAlign w:val="center"/>
            <w:hideMark/>
          </w:tcPr>
          <w:p w14:paraId="74A6B18F"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1 288 969</w:t>
            </w:r>
          </w:p>
        </w:tc>
        <w:tc>
          <w:tcPr>
            <w:tcW w:w="992" w:type="dxa"/>
            <w:shd w:val="clear" w:color="000000" w:fill="FFFFFF"/>
            <w:noWrap/>
            <w:vAlign w:val="center"/>
            <w:hideMark/>
          </w:tcPr>
          <w:p w14:paraId="39F6C02C"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2 081 400</w:t>
            </w:r>
          </w:p>
        </w:tc>
        <w:tc>
          <w:tcPr>
            <w:tcW w:w="993" w:type="dxa"/>
            <w:shd w:val="clear" w:color="000000" w:fill="FFFFFF"/>
            <w:noWrap/>
            <w:vAlign w:val="center"/>
            <w:hideMark/>
          </w:tcPr>
          <w:p w14:paraId="4A373053"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2 112 480</w:t>
            </w:r>
          </w:p>
        </w:tc>
        <w:tc>
          <w:tcPr>
            <w:tcW w:w="992" w:type="dxa"/>
            <w:shd w:val="clear" w:color="000000" w:fill="FFFFFF"/>
            <w:noWrap/>
            <w:vAlign w:val="center"/>
            <w:hideMark/>
          </w:tcPr>
          <w:p w14:paraId="4245BFE9"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2 112 480</w:t>
            </w:r>
          </w:p>
        </w:tc>
        <w:tc>
          <w:tcPr>
            <w:tcW w:w="992" w:type="dxa"/>
            <w:shd w:val="clear" w:color="000000" w:fill="FFFFFF"/>
            <w:noWrap/>
            <w:vAlign w:val="center"/>
            <w:hideMark/>
          </w:tcPr>
          <w:p w14:paraId="08E02CB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2 247 102</w:t>
            </w:r>
          </w:p>
        </w:tc>
        <w:tc>
          <w:tcPr>
            <w:tcW w:w="880" w:type="dxa"/>
            <w:shd w:val="clear" w:color="000000" w:fill="FFFFFF"/>
            <w:noWrap/>
            <w:vAlign w:val="center"/>
            <w:hideMark/>
          </w:tcPr>
          <w:p w14:paraId="1B20C8A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2 247 102</w:t>
            </w:r>
          </w:p>
        </w:tc>
        <w:tc>
          <w:tcPr>
            <w:tcW w:w="963" w:type="dxa"/>
            <w:shd w:val="clear" w:color="000000" w:fill="FFFFFF"/>
            <w:noWrap/>
            <w:vAlign w:val="center"/>
            <w:hideMark/>
          </w:tcPr>
          <w:p w14:paraId="53BF0D94"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2 677 056</w:t>
            </w:r>
          </w:p>
        </w:tc>
        <w:tc>
          <w:tcPr>
            <w:tcW w:w="992" w:type="dxa"/>
            <w:shd w:val="clear" w:color="000000" w:fill="FFFFFF"/>
            <w:noWrap/>
            <w:vAlign w:val="center"/>
            <w:hideMark/>
          </w:tcPr>
          <w:p w14:paraId="6378CF37"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2 834 736</w:t>
            </w:r>
          </w:p>
        </w:tc>
      </w:tr>
      <w:tr w:rsidR="00EB6D39" w:rsidRPr="00EB6D39" w14:paraId="34BC2B9F" w14:textId="77777777" w:rsidTr="00922B55">
        <w:trPr>
          <w:trHeight w:val="148"/>
        </w:trPr>
        <w:tc>
          <w:tcPr>
            <w:tcW w:w="1560" w:type="dxa"/>
            <w:shd w:val="clear" w:color="000000" w:fill="FFFFFF"/>
            <w:noWrap/>
            <w:vAlign w:val="center"/>
            <w:hideMark/>
          </w:tcPr>
          <w:p w14:paraId="501DDE40" w14:textId="77777777"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lastRenderedPageBreak/>
              <w:t>RZZP so štátom</w:t>
            </w:r>
          </w:p>
        </w:tc>
        <w:tc>
          <w:tcPr>
            <w:tcW w:w="992" w:type="dxa"/>
            <w:shd w:val="clear" w:color="000000" w:fill="FFFFFF"/>
            <w:noWrap/>
            <w:vAlign w:val="center"/>
            <w:hideMark/>
          </w:tcPr>
          <w:p w14:paraId="24E42E2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2" w:type="dxa"/>
            <w:shd w:val="clear" w:color="000000" w:fill="FFFFFF"/>
            <w:noWrap/>
            <w:vAlign w:val="center"/>
            <w:hideMark/>
          </w:tcPr>
          <w:p w14:paraId="60CBF731"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3" w:type="dxa"/>
            <w:shd w:val="clear" w:color="000000" w:fill="FFFFFF"/>
            <w:noWrap/>
            <w:vAlign w:val="center"/>
            <w:hideMark/>
          </w:tcPr>
          <w:p w14:paraId="0BD70F43"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2" w:type="dxa"/>
            <w:shd w:val="clear" w:color="000000" w:fill="FFFFFF"/>
            <w:noWrap/>
            <w:vAlign w:val="center"/>
            <w:hideMark/>
          </w:tcPr>
          <w:p w14:paraId="5471258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992" w:type="dxa"/>
            <w:shd w:val="clear" w:color="000000" w:fill="FFFFFF"/>
            <w:noWrap/>
            <w:vAlign w:val="center"/>
            <w:hideMark/>
          </w:tcPr>
          <w:p w14:paraId="13B88721"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69 498</w:t>
            </w:r>
          </w:p>
        </w:tc>
        <w:tc>
          <w:tcPr>
            <w:tcW w:w="880" w:type="dxa"/>
            <w:shd w:val="clear" w:color="000000" w:fill="FFFFFF"/>
            <w:noWrap/>
            <w:vAlign w:val="center"/>
            <w:hideMark/>
          </w:tcPr>
          <w:p w14:paraId="2924B87C"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69 498</w:t>
            </w:r>
          </w:p>
        </w:tc>
        <w:tc>
          <w:tcPr>
            <w:tcW w:w="963" w:type="dxa"/>
            <w:shd w:val="clear" w:color="000000" w:fill="FFFFFF"/>
            <w:noWrap/>
            <w:vAlign w:val="center"/>
            <w:hideMark/>
          </w:tcPr>
          <w:p w14:paraId="00C62912"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30 000</w:t>
            </w:r>
          </w:p>
        </w:tc>
        <w:tc>
          <w:tcPr>
            <w:tcW w:w="992" w:type="dxa"/>
            <w:shd w:val="clear" w:color="000000" w:fill="FFFFFF"/>
            <w:noWrap/>
            <w:vAlign w:val="center"/>
            <w:hideMark/>
          </w:tcPr>
          <w:p w14:paraId="4D22379C"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30 000</w:t>
            </w:r>
          </w:p>
        </w:tc>
      </w:tr>
      <w:tr w:rsidR="00EB6D39" w:rsidRPr="00EB6D39" w14:paraId="474BE67E" w14:textId="77777777" w:rsidTr="00922B55">
        <w:trPr>
          <w:trHeight w:val="336"/>
        </w:trPr>
        <w:tc>
          <w:tcPr>
            <w:tcW w:w="1560" w:type="dxa"/>
            <w:tcBorders>
              <w:bottom w:val="single" w:sz="4" w:space="0" w:color="auto"/>
            </w:tcBorders>
            <w:shd w:val="clear" w:color="000000" w:fill="FFFFFF"/>
            <w:noWrap/>
            <w:vAlign w:val="center"/>
            <w:hideMark/>
          </w:tcPr>
          <w:p w14:paraId="31E250CC" w14:textId="77777777"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Nedaňové príjmy</w:t>
            </w:r>
          </w:p>
        </w:tc>
        <w:tc>
          <w:tcPr>
            <w:tcW w:w="992" w:type="dxa"/>
            <w:tcBorders>
              <w:bottom w:val="single" w:sz="4" w:space="0" w:color="auto"/>
            </w:tcBorders>
            <w:shd w:val="clear" w:color="000000" w:fill="FFFFFF"/>
            <w:noWrap/>
            <w:vAlign w:val="center"/>
            <w:hideMark/>
          </w:tcPr>
          <w:p w14:paraId="52427A6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61 955</w:t>
            </w:r>
          </w:p>
        </w:tc>
        <w:tc>
          <w:tcPr>
            <w:tcW w:w="992" w:type="dxa"/>
            <w:tcBorders>
              <w:bottom w:val="single" w:sz="4" w:space="0" w:color="auto"/>
            </w:tcBorders>
            <w:shd w:val="clear" w:color="000000" w:fill="FFFFFF"/>
            <w:noWrap/>
            <w:vAlign w:val="center"/>
            <w:hideMark/>
          </w:tcPr>
          <w:p w14:paraId="5B5D8DAA"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81 819</w:t>
            </w:r>
          </w:p>
        </w:tc>
        <w:tc>
          <w:tcPr>
            <w:tcW w:w="993" w:type="dxa"/>
            <w:tcBorders>
              <w:bottom w:val="single" w:sz="4" w:space="0" w:color="auto"/>
            </w:tcBorders>
            <w:shd w:val="clear" w:color="000000" w:fill="FFFFFF"/>
            <w:noWrap/>
            <w:vAlign w:val="center"/>
            <w:hideMark/>
          </w:tcPr>
          <w:p w14:paraId="2F1095F7"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60 000</w:t>
            </w:r>
          </w:p>
        </w:tc>
        <w:tc>
          <w:tcPr>
            <w:tcW w:w="992" w:type="dxa"/>
            <w:tcBorders>
              <w:bottom w:val="single" w:sz="4" w:space="0" w:color="auto"/>
            </w:tcBorders>
            <w:shd w:val="clear" w:color="000000" w:fill="FFFFFF"/>
            <w:noWrap/>
            <w:vAlign w:val="center"/>
            <w:hideMark/>
          </w:tcPr>
          <w:p w14:paraId="2A55EB17"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71 000</w:t>
            </w:r>
          </w:p>
        </w:tc>
        <w:tc>
          <w:tcPr>
            <w:tcW w:w="992" w:type="dxa"/>
            <w:tcBorders>
              <w:bottom w:val="single" w:sz="4" w:space="0" w:color="auto"/>
            </w:tcBorders>
            <w:shd w:val="clear" w:color="000000" w:fill="FFFFFF"/>
            <w:noWrap/>
            <w:vAlign w:val="center"/>
            <w:hideMark/>
          </w:tcPr>
          <w:p w14:paraId="3D289A56"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69 870</w:t>
            </w:r>
          </w:p>
        </w:tc>
        <w:tc>
          <w:tcPr>
            <w:tcW w:w="880" w:type="dxa"/>
            <w:tcBorders>
              <w:bottom w:val="single" w:sz="4" w:space="0" w:color="auto"/>
            </w:tcBorders>
            <w:shd w:val="clear" w:color="000000" w:fill="FFFFFF"/>
            <w:noWrap/>
            <w:vAlign w:val="center"/>
            <w:hideMark/>
          </w:tcPr>
          <w:p w14:paraId="59B5ABEF"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128 015</w:t>
            </w:r>
          </w:p>
        </w:tc>
        <w:tc>
          <w:tcPr>
            <w:tcW w:w="963" w:type="dxa"/>
            <w:tcBorders>
              <w:bottom w:val="single" w:sz="4" w:space="0" w:color="auto"/>
            </w:tcBorders>
            <w:shd w:val="clear" w:color="000000" w:fill="FFFFFF"/>
            <w:noWrap/>
            <w:vAlign w:val="center"/>
            <w:hideMark/>
          </w:tcPr>
          <w:p w14:paraId="2991CFBC"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69 870</w:t>
            </w:r>
          </w:p>
        </w:tc>
        <w:tc>
          <w:tcPr>
            <w:tcW w:w="992" w:type="dxa"/>
            <w:tcBorders>
              <w:bottom w:val="single" w:sz="4" w:space="0" w:color="auto"/>
            </w:tcBorders>
            <w:shd w:val="clear" w:color="000000" w:fill="FFFFFF"/>
            <w:noWrap/>
            <w:vAlign w:val="center"/>
            <w:hideMark/>
          </w:tcPr>
          <w:p w14:paraId="59DB25F4"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69 870</w:t>
            </w:r>
          </w:p>
        </w:tc>
      </w:tr>
      <w:tr w:rsidR="00EB6D39" w:rsidRPr="00EB6D39" w14:paraId="4AE0973B" w14:textId="77777777" w:rsidTr="00922B55">
        <w:trPr>
          <w:trHeight w:val="435"/>
        </w:trPr>
        <w:tc>
          <w:tcPr>
            <w:tcW w:w="1560" w:type="dxa"/>
            <w:tcBorders>
              <w:bottom w:val="single" w:sz="4" w:space="0" w:color="auto"/>
            </w:tcBorders>
            <w:shd w:val="clear" w:color="000000" w:fill="FFFFFF"/>
            <w:noWrap/>
            <w:vAlign w:val="center"/>
            <w:hideMark/>
          </w:tcPr>
          <w:p w14:paraId="45D65C58" w14:textId="77777777" w:rsidR="00922B55" w:rsidRPr="00EB6D39" w:rsidRDefault="00922B55" w:rsidP="00922B55">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Disponibilné zdroje</w:t>
            </w:r>
          </w:p>
        </w:tc>
        <w:tc>
          <w:tcPr>
            <w:tcW w:w="992" w:type="dxa"/>
            <w:tcBorders>
              <w:bottom w:val="single" w:sz="4" w:space="0" w:color="auto"/>
            </w:tcBorders>
            <w:shd w:val="clear" w:color="000000" w:fill="FFFFFF"/>
            <w:noWrap/>
            <w:vAlign w:val="center"/>
            <w:hideMark/>
          </w:tcPr>
          <w:p w14:paraId="4BA17D6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6 039 696</w:t>
            </w:r>
          </w:p>
        </w:tc>
        <w:tc>
          <w:tcPr>
            <w:tcW w:w="992" w:type="dxa"/>
            <w:tcBorders>
              <w:bottom w:val="single" w:sz="4" w:space="0" w:color="auto"/>
            </w:tcBorders>
            <w:shd w:val="clear" w:color="000000" w:fill="FFFFFF"/>
            <w:noWrap/>
            <w:vAlign w:val="center"/>
            <w:hideMark/>
          </w:tcPr>
          <w:p w14:paraId="0D53AAD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7 349 072</w:t>
            </w:r>
          </w:p>
        </w:tc>
        <w:tc>
          <w:tcPr>
            <w:tcW w:w="993" w:type="dxa"/>
            <w:tcBorders>
              <w:bottom w:val="single" w:sz="4" w:space="0" w:color="auto"/>
            </w:tcBorders>
            <w:shd w:val="clear" w:color="000000" w:fill="FFFFFF"/>
            <w:noWrap/>
            <w:vAlign w:val="center"/>
            <w:hideMark/>
          </w:tcPr>
          <w:p w14:paraId="5DCCA65B"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8 080 612</w:t>
            </w:r>
          </w:p>
        </w:tc>
        <w:tc>
          <w:tcPr>
            <w:tcW w:w="992" w:type="dxa"/>
            <w:tcBorders>
              <w:bottom w:val="single" w:sz="4" w:space="0" w:color="auto"/>
            </w:tcBorders>
            <w:shd w:val="clear" w:color="000000" w:fill="FFFFFF"/>
            <w:noWrap/>
            <w:vAlign w:val="center"/>
            <w:hideMark/>
          </w:tcPr>
          <w:p w14:paraId="0F16E520"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8 053 585</w:t>
            </w:r>
          </w:p>
        </w:tc>
        <w:tc>
          <w:tcPr>
            <w:tcW w:w="992" w:type="dxa"/>
            <w:tcBorders>
              <w:bottom w:val="single" w:sz="4" w:space="0" w:color="auto"/>
            </w:tcBorders>
            <w:shd w:val="clear" w:color="000000" w:fill="FFFFFF"/>
            <w:noWrap/>
            <w:vAlign w:val="center"/>
            <w:hideMark/>
          </w:tcPr>
          <w:p w14:paraId="7C60BDF6"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8 651 838</w:t>
            </w:r>
          </w:p>
        </w:tc>
        <w:tc>
          <w:tcPr>
            <w:tcW w:w="880" w:type="dxa"/>
            <w:tcBorders>
              <w:bottom w:val="single" w:sz="4" w:space="0" w:color="auto"/>
            </w:tcBorders>
            <w:shd w:val="clear" w:color="000000" w:fill="FFFFFF"/>
            <w:noWrap/>
            <w:vAlign w:val="center"/>
            <w:hideMark/>
          </w:tcPr>
          <w:p w14:paraId="26646F32"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8 701 665</w:t>
            </w:r>
          </w:p>
        </w:tc>
        <w:tc>
          <w:tcPr>
            <w:tcW w:w="963" w:type="dxa"/>
            <w:tcBorders>
              <w:bottom w:val="single" w:sz="4" w:space="0" w:color="auto"/>
            </w:tcBorders>
            <w:shd w:val="clear" w:color="000000" w:fill="FFFFFF"/>
            <w:noWrap/>
            <w:vAlign w:val="center"/>
            <w:hideMark/>
          </w:tcPr>
          <w:p w14:paraId="760A8922"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9 371 852</w:t>
            </w:r>
          </w:p>
        </w:tc>
        <w:tc>
          <w:tcPr>
            <w:tcW w:w="992" w:type="dxa"/>
            <w:tcBorders>
              <w:bottom w:val="single" w:sz="4" w:space="0" w:color="auto"/>
            </w:tcBorders>
            <w:shd w:val="clear" w:color="000000" w:fill="FFFFFF"/>
            <w:noWrap/>
            <w:vAlign w:val="center"/>
            <w:hideMark/>
          </w:tcPr>
          <w:p w14:paraId="0D3BD17E" w14:textId="77777777" w:rsidR="00922B55" w:rsidRPr="00EB6D39" w:rsidRDefault="00922B55" w:rsidP="00922B5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9 859 429</w:t>
            </w:r>
          </w:p>
        </w:tc>
      </w:tr>
      <w:tr w:rsidR="00EB6D39" w:rsidRPr="00EB6D39" w14:paraId="6B07E282" w14:textId="77777777" w:rsidTr="00922B55">
        <w:trPr>
          <w:trHeight w:val="536"/>
        </w:trPr>
        <w:tc>
          <w:tcPr>
            <w:tcW w:w="9356" w:type="dxa"/>
            <w:gridSpan w:val="9"/>
            <w:tcBorders>
              <w:top w:val="single" w:sz="4" w:space="0" w:color="auto"/>
              <w:left w:val="nil"/>
              <w:bottom w:val="nil"/>
              <w:right w:val="nil"/>
            </w:tcBorders>
            <w:shd w:val="clear" w:color="000000" w:fill="FFFFFF"/>
            <w:noWrap/>
            <w:vAlign w:val="center"/>
            <w:hideMark/>
          </w:tcPr>
          <w:p w14:paraId="25167EB6" w14:textId="77777777" w:rsidR="00922B55" w:rsidRPr="00EB6D39" w:rsidRDefault="00922B55" w:rsidP="00922B55">
            <w:pPr>
              <w:spacing w:after="0" w:line="240" w:lineRule="auto"/>
              <w:jc w:val="right"/>
              <w:rPr>
                <w:rFonts w:ascii="Times New Roman" w:eastAsia="Times New Roman" w:hAnsi="Times New Roman" w:cs="Times New Roman"/>
                <w:i/>
                <w:iCs/>
                <w:kern w:val="0"/>
                <w:sz w:val="18"/>
                <w:szCs w:val="18"/>
                <w:lang w:eastAsia="sk-SK"/>
                <w14:ligatures w14:val="none"/>
              </w:rPr>
            </w:pPr>
            <w:r w:rsidRPr="00EB6D39">
              <w:rPr>
                <w:rFonts w:ascii="Times New Roman" w:eastAsia="Times New Roman" w:hAnsi="Times New Roman" w:cs="Times New Roman"/>
                <w:i/>
                <w:iCs/>
                <w:kern w:val="0"/>
                <w:sz w:val="18"/>
                <w:szCs w:val="18"/>
                <w:lang w:eastAsia="sk-SK"/>
                <w14:ligatures w14:val="none"/>
              </w:rPr>
              <w:t xml:space="preserve">Zdroj: MF SR a upravené MZSR podľa daňovej prognózy 02/2025 </w:t>
            </w:r>
          </w:p>
        </w:tc>
      </w:tr>
    </w:tbl>
    <w:p w14:paraId="323F7B96" w14:textId="274162CE" w:rsidR="00E74030" w:rsidRPr="00EB6D39" w:rsidRDefault="00837675" w:rsidP="0043689D">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b/>
      </w:r>
      <w:r w:rsidR="00E74030" w:rsidRPr="00EB6D39">
        <w:rPr>
          <w:rFonts w:ascii="Times New Roman" w:hAnsi="Times New Roman" w:cs="Times New Roman"/>
          <w:sz w:val="24"/>
          <w:szCs w:val="24"/>
        </w:rPr>
        <w:t>Platba za poistencov štátu je v roku 2025 určená rovnakou fixnou sadzbou ako v roku 2024. V roku 2025 sa uplatňuje fixná sadzba za poistencov štátu stanovená prechodne  na úrovni 4,5 % z priemernej mesačnej mzdy spred dvoch rokov. Celková platba štátu tak na rok 20</w:t>
      </w:r>
      <w:r w:rsidR="0077068A" w:rsidRPr="00EB6D39">
        <w:rPr>
          <w:rFonts w:ascii="Times New Roman" w:hAnsi="Times New Roman" w:cs="Times New Roman"/>
          <w:sz w:val="24"/>
          <w:szCs w:val="24"/>
        </w:rPr>
        <w:t>25 predstavuje sumu 2,316 mld. e</w:t>
      </w:r>
      <w:r w:rsidR="00E74030" w:rsidRPr="00EB6D39">
        <w:rPr>
          <w:rFonts w:ascii="Times New Roman" w:hAnsi="Times New Roman" w:cs="Times New Roman"/>
          <w:sz w:val="24"/>
          <w:szCs w:val="24"/>
        </w:rPr>
        <w:t xml:space="preserve">ur, z toho na mesačné preddavky na poistencov štátu bola dedikovaná suma 2,247 mld. eur, počet poistencov štátu sa predpokladá na úrovni 2,9 mil. osôb a na ročné zúčtovanie za rok 2024 s poistencami štátu bola dedikovaná </w:t>
      </w:r>
      <w:r w:rsidR="00B65414" w:rsidRPr="00EB6D39">
        <w:rPr>
          <w:rFonts w:ascii="Times New Roman" w:hAnsi="Times New Roman" w:cs="Times New Roman"/>
          <w:sz w:val="24"/>
          <w:szCs w:val="24"/>
        </w:rPr>
        <w:t xml:space="preserve">maximálna </w:t>
      </w:r>
      <w:r w:rsidR="00E74030" w:rsidRPr="00EB6D39">
        <w:rPr>
          <w:rFonts w:ascii="Times New Roman" w:hAnsi="Times New Roman" w:cs="Times New Roman"/>
          <w:sz w:val="24"/>
          <w:szCs w:val="24"/>
        </w:rPr>
        <w:t>platba vo výške 69,49 mil. eur</w:t>
      </w:r>
      <w:r w:rsidR="006D78A0" w:rsidRPr="00EB6D39">
        <w:rPr>
          <w:rFonts w:ascii="Times New Roman" w:hAnsi="Times New Roman" w:cs="Times New Roman"/>
          <w:sz w:val="24"/>
          <w:szCs w:val="24"/>
        </w:rPr>
        <w:t xml:space="preserve">, pričom však v prípade, že táto suma nebude naplnená, budú </w:t>
      </w:r>
      <w:r w:rsidR="00B65414" w:rsidRPr="00EB6D39">
        <w:rPr>
          <w:rFonts w:ascii="Times New Roman" w:hAnsi="Times New Roman" w:cs="Times New Roman"/>
          <w:sz w:val="24"/>
          <w:szCs w:val="24"/>
        </w:rPr>
        <w:t>proporčne</w:t>
      </w:r>
      <w:r w:rsidR="006D78A0" w:rsidRPr="00EB6D39">
        <w:rPr>
          <w:rFonts w:ascii="Times New Roman" w:hAnsi="Times New Roman" w:cs="Times New Roman"/>
          <w:sz w:val="24"/>
          <w:szCs w:val="24"/>
        </w:rPr>
        <w:t xml:space="preserve"> </w:t>
      </w:r>
      <w:r w:rsidR="00B65414" w:rsidRPr="00EB6D39">
        <w:rPr>
          <w:rFonts w:ascii="Times New Roman" w:hAnsi="Times New Roman" w:cs="Times New Roman"/>
          <w:sz w:val="24"/>
          <w:szCs w:val="24"/>
        </w:rPr>
        <w:t xml:space="preserve">navýšené </w:t>
      </w:r>
      <w:r w:rsidR="006D78A0" w:rsidRPr="00EB6D39">
        <w:rPr>
          <w:rFonts w:ascii="Times New Roman" w:hAnsi="Times New Roman" w:cs="Times New Roman"/>
          <w:sz w:val="24"/>
          <w:szCs w:val="24"/>
        </w:rPr>
        <w:t>preddavky</w:t>
      </w:r>
      <w:r w:rsidR="00B65414" w:rsidRPr="00EB6D39">
        <w:rPr>
          <w:rFonts w:ascii="Times New Roman" w:hAnsi="Times New Roman" w:cs="Times New Roman"/>
          <w:sz w:val="24"/>
          <w:szCs w:val="24"/>
        </w:rPr>
        <w:t xml:space="preserve"> tak, aby bola celková suma </w:t>
      </w:r>
      <w:r w:rsidR="00BF6655" w:rsidRPr="00EB6D39">
        <w:rPr>
          <w:rFonts w:ascii="Times New Roman" w:hAnsi="Times New Roman" w:cs="Times New Roman"/>
          <w:sz w:val="24"/>
          <w:szCs w:val="24"/>
        </w:rPr>
        <w:t xml:space="preserve">platby štátu na úrovni 2,316 mld. </w:t>
      </w:r>
      <w:r w:rsidR="00BD4EBE" w:rsidRPr="00EB6D39">
        <w:rPr>
          <w:rFonts w:ascii="Times New Roman" w:hAnsi="Times New Roman" w:cs="Times New Roman"/>
          <w:sz w:val="24"/>
          <w:szCs w:val="24"/>
        </w:rPr>
        <w:t>e</w:t>
      </w:r>
      <w:r w:rsidR="00BF6655" w:rsidRPr="00EB6D39">
        <w:rPr>
          <w:rFonts w:ascii="Times New Roman" w:hAnsi="Times New Roman" w:cs="Times New Roman"/>
          <w:sz w:val="24"/>
          <w:szCs w:val="24"/>
        </w:rPr>
        <w:t xml:space="preserve">ur </w:t>
      </w:r>
      <w:r w:rsidR="00B65414" w:rsidRPr="00EB6D39">
        <w:rPr>
          <w:rFonts w:ascii="Times New Roman" w:hAnsi="Times New Roman" w:cs="Times New Roman"/>
          <w:sz w:val="24"/>
          <w:szCs w:val="24"/>
        </w:rPr>
        <w:t>zachovaná</w:t>
      </w:r>
      <w:r w:rsidR="00E74030" w:rsidRPr="00EB6D39">
        <w:rPr>
          <w:rFonts w:ascii="Times New Roman" w:hAnsi="Times New Roman" w:cs="Times New Roman"/>
          <w:sz w:val="24"/>
          <w:szCs w:val="24"/>
        </w:rPr>
        <w:t xml:space="preserve">. Oproti rozpočtu na rok 2024 ide o navýšenie zdrojov na preddavkoch na poistencov štátu o 135 mil. eur. </w:t>
      </w:r>
    </w:p>
    <w:p w14:paraId="4A810E66" w14:textId="77777777" w:rsidR="00E74030" w:rsidRPr="00EB6D39" w:rsidRDefault="00E74030" w:rsidP="00331236">
      <w:pPr>
        <w:spacing w:after="0" w:line="240" w:lineRule="auto"/>
        <w:ind w:firstLine="708"/>
        <w:jc w:val="both"/>
        <w:rPr>
          <w:rFonts w:ascii="Times New Roman" w:hAnsi="Times New Roman" w:cs="Times New Roman"/>
          <w:sz w:val="24"/>
          <w:szCs w:val="24"/>
        </w:rPr>
      </w:pPr>
    </w:p>
    <w:p w14:paraId="19DE7952" w14:textId="5B11DCA3" w:rsidR="00FF727E" w:rsidRPr="00EB6D39" w:rsidRDefault="00E74030" w:rsidP="0033123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Výdavky verejného zdravotného poistenia celkom v schválenom rozpočte spolu dosiahnu v roku 2025 úroveň 8,608  mld. </w:t>
      </w:r>
      <w:r w:rsidR="00FE09FE" w:rsidRPr="00EB6D39">
        <w:rPr>
          <w:rFonts w:ascii="Times New Roman" w:hAnsi="Times New Roman" w:cs="Times New Roman"/>
          <w:sz w:val="24"/>
          <w:szCs w:val="24"/>
        </w:rPr>
        <w:t>e</w:t>
      </w:r>
      <w:r w:rsidRPr="00EB6D39">
        <w:rPr>
          <w:rFonts w:ascii="Times New Roman" w:hAnsi="Times New Roman" w:cs="Times New Roman"/>
          <w:sz w:val="24"/>
          <w:szCs w:val="24"/>
        </w:rPr>
        <w:t>ur, z toho r</w:t>
      </w:r>
      <w:r w:rsidR="00FF727E" w:rsidRPr="00EB6D39">
        <w:rPr>
          <w:rFonts w:ascii="Times New Roman" w:hAnsi="Times New Roman" w:cs="Times New Roman"/>
          <w:sz w:val="24"/>
          <w:szCs w:val="24"/>
        </w:rPr>
        <w:t>ozpočtovaný limit výdavkov na zdravotnú starostlivosť</w:t>
      </w:r>
      <w:r w:rsidRPr="00EB6D39">
        <w:rPr>
          <w:rFonts w:ascii="Times New Roman" w:hAnsi="Times New Roman" w:cs="Times New Roman"/>
          <w:sz w:val="24"/>
          <w:szCs w:val="24"/>
        </w:rPr>
        <w:t xml:space="preserve"> v sume 8,303 mld. eur</w:t>
      </w:r>
      <w:r w:rsidR="00FF727E" w:rsidRPr="00EB6D39">
        <w:rPr>
          <w:rFonts w:ascii="Times New Roman" w:hAnsi="Times New Roman" w:cs="Times New Roman"/>
          <w:sz w:val="24"/>
          <w:szCs w:val="24"/>
        </w:rPr>
        <w:t xml:space="preserve"> bol rozdelený na jednotlivé typy zdravotnej starostlivosti podľa týchto princípov:</w:t>
      </w:r>
    </w:p>
    <w:p w14:paraId="21C5BC2C" w14:textId="6B28931A" w:rsidR="00FF727E" w:rsidRPr="00EB6D39" w:rsidRDefault="00FF727E"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Pre finančnú stabilitu systému poskytovania zdravotnej starostlivosti je potrebné zabezpečiť úhrady za zdravotnú starostlivosť v rozsahu ekonomicky oprávnených nákladov. Nakoľko však ekonomicky oprávnené náklady nemusia byť nevyhnutne totožné so všetkými aktuálnymi výdavkami za zdravotnú starostlivosť, je potrebné uskutočniť komplexný produkčný, prevádzkový a personálny audit, ktorý nám ukáže mieru </w:t>
      </w:r>
      <w:proofErr w:type="spellStart"/>
      <w:r w:rsidRPr="00EB6D39">
        <w:rPr>
          <w:rFonts w:ascii="Times New Roman" w:hAnsi="Times New Roman" w:cs="Times New Roman"/>
          <w:sz w:val="24"/>
          <w:szCs w:val="24"/>
        </w:rPr>
        <w:t>neefektivity</w:t>
      </w:r>
      <w:proofErr w:type="spellEnd"/>
      <w:r w:rsidRPr="00EB6D39">
        <w:rPr>
          <w:rFonts w:ascii="Times New Roman" w:hAnsi="Times New Roman" w:cs="Times New Roman"/>
          <w:sz w:val="24"/>
          <w:szCs w:val="24"/>
        </w:rPr>
        <w:t xml:space="preserve"> v systéme zdravotnej starostlivosti.</w:t>
      </w:r>
    </w:p>
    <w:p w14:paraId="39D0B26F" w14:textId="61A53A51" w:rsidR="00FF727E" w:rsidRPr="00EB6D39" w:rsidRDefault="00FF727E"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Pre dosahovanie potrebných úspor z rozsahu je potrebné zrýchliť centralizáciu riadenia štátnych nemocníc tak, aby sme boli schopní vykonávať centrálne nákupy, zdieľať spoločné obslužné činnosti a organizovať prierezovú zdravotnú starostlivosť s využitím celej štátnej ústavnej infraštruktúry.</w:t>
      </w:r>
    </w:p>
    <w:p w14:paraId="165A2CFC" w14:textId="1ABB1C9B" w:rsidR="00FF727E" w:rsidRPr="00EB6D39" w:rsidRDefault="00FF727E"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S ohľadom na riešenie strednodobého investičného a technologického dlhu je potrebné maximalizovať čerpanie zdrojov z Plánu obnovy a odolnosti a Programu Slovensko.</w:t>
      </w:r>
    </w:p>
    <w:p w14:paraId="68AB416B" w14:textId="4C28C7B1" w:rsidR="00575540" w:rsidRPr="00EB6D39" w:rsidRDefault="00FF727E" w:rsidP="002E5CA3">
      <w:pPr>
        <w:pStyle w:val="Odsekzoznamu"/>
        <w:numPr>
          <w:ilvl w:val="0"/>
          <w:numId w:val="1"/>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Súbežne s nastavením mechanizmu úhrad za zdravotnú starostlivosť a s ohľadom na závery z produkčného, prevádzkového a personálneho auditu je potrebné zaviesť komplexný systém merania kvality zdravotnej starostlivosti a vzhľadom na to aj aktualizovať personálne a materiálovo-technické normatívy pre poskytovanie zdravotnej starostlivosti.</w:t>
      </w:r>
    </w:p>
    <w:p w14:paraId="224DD5D5" w14:textId="77777777" w:rsidR="00FF727E" w:rsidRPr="00EB6D39" w:rsidRDefault="00FF727E" w:rsidP="002E5CA3">
      <w:pPr>
        <w:spacing w:after="0" w:line="240" w:lineRule="auto"/>
        <w:jc w:val="both"/>
        <w:rPr>
          <w:rFonts w:ascii="Times New Roman" w:hAnsi="Times New Roman" w:cs="Times New Roman"/>
          <w:sz w:val="24"/>
          <w:szCs w:val="24"/>
        </w:rPr>
      </w:pPr>
    </w:p>
    <w:p w14:paraId="06463D34" w14:textId="45291F47" w:rsidR="001538D6" w:rsidRPr="00EB6D39" w:rsidRDefault="006032E7" w:rsidP="002E5CA3">
      <w:pPr>
        <w:spacing w:after="0" w:line="240" w:lineRule="auto"/>
        <w:jc w:val="both"/>
        <w:rPr>
          <w:rFonts w:ascii="Times New Roman" w:hAnsi="Times New Roman" w:cs="Times New Roman"/>
          <w:b/>
          <w:lang w:eastAsia="sk-SK"/>
        </w:rPr>
      </w:pPr>
      <w:r w:rsidRPr="00EB6D39">
        <w:rPr>
          <w:rFonts w:ascii="Times New Roman" w:hAnsi="Times New Roman" w:cs="Times New Roman"/>
          <w:b/>
          <w:lang w:eastAsia="sk-SK"/>
        </w:rPr>
        <w:t xml:space="preserve">Tabuľka 2: </w:t>
      </w:r>
      <w:r w:rsidR="001538D6" w:rsidRPr="00EB6D39">
        <w:rPr>
          <w:rFonts w:ascii="Times New Roman" w:hAnsi="Times New Roman" w:cs="Times New Roman"/>
          <w:b/>
          <w:lang w:eastAsia="sk-SK"/>
        </w:rPr>
        <w:t xml:space="preserve">Celková suma </w:t>
      </w:r>
      <w:r w:rsidR="001538D6" w:rsidRPr="00EB6D39">
        <w:rPr>
          <w:rFonts w:ascii="Times New Roman" w:hAnsi="Times New Roman" w:cs="Times New Roman"/>
          <w:b/>
        </w:rPr>
        <w:t>výdavkov zdravotnej poisťovne na zdravotnú starostlivosť určených v rozpočte na rok 2025:</w:t>
      </w:r>
    </w:p>
    <w:tbl>
      <w:tblPr>
        <w:tblW w:w="90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1"/>
        <w:gridCol w:w="1542"/>
        <w:gridCol w:w="1417"/>
        <w:gridCol w:w="1418"/>
        <w:gridCol w:w="1417"/>
      </w:tblGrid>
      <w:tr w:rsidR="00EB6D39" w:rsidRPr="00EB6D39" w14:paraId="4D777AD8" w14:textId="77777777" w:rsidTr="00331236">
        <w:trPr>
          <w:trHeight w:val="466"/>
        </w:trPr>
        <w:tc>
          <w:tcPr>
            <w:tcW w:w="3261" w:type="dxa"/>
            <w:shd w:val="clear" w:color="auto" w:fill="auto"/>
            <w:vAlign w:val="center"/>
            <w:hideMark/>
          </w:tcPr>
          <w:p w14:paraId="4FA6A45E" w14:textId="5B258D70" w:rsidR="001538D6" w:rsidRPr="00EB6D39" w:rsidRDefault="001538D6" w:rsidP="002E5CA3">
            <w:pPr>
              <w:spacing w:after="0" w:line="240" w:lineRule="auto"/>
              <w:jc w:val="both"/>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v</w:t>
            </w:r>
            <w:r w:rsidR="00331236" w:rsidRPr="00EB6D39">
              <w:rPr>
                <w:rFonts w:ascii="Times New Roman" w:eastAsia="Times New Roman" w:hAnsi="Times New Roman" w:cs="Times New Roman"/>
                <w:sz w:val="20"/>
                <w:szCs w:val="20"/>
                <w:lang w:eastAsia="sk-SK"/>
              </w:rPr>
              <w:t> </w:t>
            </w:r>
            <w:r w:rsidRPr="00EB6D39">
              <w:rPr>
                <w:rFonts w:ascii="Times New Roman" w:eastAsia="Times New Roman" w:hAnsi="Times New Roman" w:cs="Times New Roman"/>
                <w:sz w:val="20"/>
                <w:szCs w:val="20"/>
                <w:lang w:eastAsia="sk-SK"/>
              </w:rPr>
              <w:t>eurách</w:t>
            </w:r>
          </w:p>
        </w:tc>
        <w:tc>
          <w:tcPr>
            <w:tcW w:w="1542" w:type="dxa"/>
            <w:shd w:val="clear" w:color="auto" w:fill="auto"/>
            <w:vAlign w:val="center"/>
            <w:hideMark/>
          </w:tcPr>
          <w:p w14:paraId="46FC97FE" w14:textId="77777777" w:rsidR="001538D6" w:rsidRPr="00EB6D39" w:rsidRDefault="001538D6" w:rsidP="00331236">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Všeobecná zdravotná poisťovňa, a. s.</w:t>
            </w:r>
          </w:p>
        </w:tc>
        <w:tc>
          <w:tcPr>
            <w:tcW w:w="1417" w:type="dxa"/>
            <w:shd w:val="clear" w:color="auto" w:fill="auto"/>
            <w:vAlign w:val="center"/>
            <w:hideMark/>
          </w:tcPr>
          <w:p w14:paraId="635FD00D" w14:textId="5D480C2B" w:rsidR="001538D6" w:rsidRPr="00EB6D39" w:rsidRDefault="001538D6" w:rsidP="00331236">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 xml:space="preserve">Dôvera zdravotná poisťovňa, </w:t>
            </w:r>
            <w:r w:rsidR="00331236" w:rsidRPr="00EB6D39">
              <w:rPr>
                <w:rFonts w:ascii="Times New Roman" w:eastAsia="Times New Roman" w:hAnsi="Times New Roman" w:cs="Times New Roman"/>
                <w:b/>
                <w:bCs/>
                <w:sz w:val="20"/>
                <w:szCs w:val="20"/>
                <w:lang w:eastAsia="sk-SK"/>
              </w:rPr>
              <w:t xml:space="preserve">     </w:t>
            </w:r>
            <w:r w:rsidRPr="00EB6D39">
              <w:rPr>
                <w:rFonts w:ascii="Times New Roman" w:eastAsia="Times New Roman" w:hAnsi="Times New Roman" w:cs="Times New Roman"/>
                <w:b/>
                <w:bCs/>
                <w:sz w:val="20"/>
                <w:szCs w:val="20"/>
                <w:lang w:eastAsia="sk-SK"/>
              </w:rPr>
              <w:t>a. s.</w:t>
            </w:r>
          </w:p>
        </w:tc>
        <w:tc>
          <w:tcPr>
            <w:tcW w:w="1418" w:type="dxa"/>
            <w:shd w:val="clear" w:color="auto" w:fill="auto"/>
            <w:vAlign w:val="center"/>
            <w:hideMark/>
          </w:tcPr>
          <w:p w14:paraId="6DBD6853" w14:textId="0E79174C" w:rsidR="001538D6" w:rsidRPr="00EB6D39" w:rsidRDefault="001538D6" w:rsidP="00331236">
            <w:pPr>
              <w:spacing w:after="0" w:line="240" w:lineRule="auto"/>
              <w:jc w:val="center"/>
              <w:rPr>
                <w:rFonts w:ascii="Times New Roman" w:eastAsia="Times New Roman" w:hAnsi="Times New Roman" w:cs="Times New Roman"/>
                <w:b/>
                <w:bCs/>
                <w:sz w:val="20"/>
                <w:szCs w:val="20"/>
                <w:lang w:eastAsia="sk-SK"/>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w:t>
            </w:r>
            <w:r w:rsidR="00331236" w:rsidRPr="00EB6D39">
              <w:rPr>
                <w:rFonts w:ascii="Times New Roman" w:eastAsia="Times New Roman" w:hAnsi="Times New Roman" w:cs="Times New Roman"/>
                <w:b/>
                <w:bCs/>
                <w:sz w:val="20"/>
                <w:szCs w:val="20"/>
                <w:lang w:eastAsia="sk-SK"/>
              </w:rPr>
              <w:t xml:space="preserve">           </w:t>
            </w:r>
            <w:r w:rsidRPr="00EB6D39">
              <w:rPr>
                <w:rFonts w:ascii="Times New Roman" w:eastAsia="Times New Roman" w:hAnsi="Times New Roman" w:cs="Times New Roman"/>
                <w:b/>
                <w:bCs/>
                <w:sz w:val="20"/>
                <w:szCs w:val="20"/>
                <w:lang w:eastAsia="sk-SK"/>
              </w:rPr>
              <w:t>a. s.</w:t>
            </w:r>
          </w:p>
        </w:tc>
        <w:tc>
          <w:tcPr>
            <w:tcW w:w="1417" w:type="dxa"/>
            <w:shd w:val="clear" w:color="auto" w:fill="auto"/>
            <w:vAlign w:val="center"/>
            <w:hideMark/>
          </w:tcPr>
          <w:p w14:paraId="16581DAF" w14:textId="77777777" w:rsidR="001538D6" w:rsidRPr="00EB6D39" w:rsidRDefault="001538D6" w:rsidP="00331236">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Spolu</w:t>
            </w:r>
          </w:p>
        </w:tc>
      </w:tr>
      <w:tr w:rsidR="00E53FC8" w:rsidRPr="00EB6D39" w14:paraId="45A5799A" w14:textId="77777777" w:rsidTr="00E53FC8">
        <w:trPr>
          <w:trHeight w:val="46"/>
        </w:trPr>
        <w:tc>
          <w:tcPr>
            <w:tcW w:w="3261" w:type="dxa"/>
            <w:shd w:val="clear" w:color="auto" w:fill="auto"/>
            <w:vAlign w:val="center"/>
            <w:hideMark/>
          </w:tcPr>
          <w:p w14:paraId="7BB09A1D" w14:textId="77777777" w:rsidR="00E53FC8" w:rsidRPr="00EB6D39" w:rsidRDefault="00E53FC8" w:rsidP="00E53FC8">
            <w:pPr>
              <w:spacing w:after="0" w:line="240" w:lineRule="auto"/>
              <w:jc w:val="both"/>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xml:space="preserve">Celková suma výdavkov určených na zdravotnú starostlivosť </w:t>
            </w:r>
          </w:p>
        </w:tc>
        <w:tc>
          <w:tcPr>
            <w:tcW w:w="1542" w:type="dxa"/>
            <w:tcBorders>
              <w:top w:val="single" w:sz="4" w:space="0" w:color="auto"/>
              <w:left w:val="nil"/>
              <w:bottom w:val="single" w:sz="4" w:space="0" w:color="auto"/>
              <w:right w:val="single" w:sz="4" w:space="0" w:color="auto"/>
            </w:tcBorders>
            <w:shd w:val="clear" w:color="auto" w:fill="auto"/>
            <w:vAlign w:val="center"/>
            <w:hideMark/>
          </w:tcPr>
          <w:p w14:paraId="41154F15" w14:textId="1C6D6F45" w:rsidR="00E53FC8" w:rsidRPr="00E53FC8" w:rsidRDefault="00E53FC8" w:rsidP="00E53FC8">
            <w:pPr>
              <w:spacing w:after="0" w:line="240" w:lineRule="auto"/>
              <w:jc w:val="center"/>
              <w:rPr>
                <w:rFonts w:ascii="Times New Roman" w:hAnsi="Times New Roman" w:cs="Times New Roman"/>
                <w:sz w:val="20"/>
                <w:szCs w:val="20"/>
              </w:rPr>
            </w:pPr>
            <w:r w:rsidRPr="00E53FC8">
              <w:rPr>
                <w:rFonts w:ascii="Times New Roman" w:hAnsi="Times New Roman" w:cs="Times New Roman"/>
                <w:sz w:val="20"/>
                <w:szCs w:val="20"/>
              </w:rPr>
              <w:t>5 077 900 632</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987BEE7" w14:textId="4CCA046F" w:rsidR="00E53FC8" w:rsidRPr="00E53FC8" w:rsidRDefault="00E53FC8" w:rsidP="00E53FC8">
            <w:pPr>
              <w:spacing w:after="0" w:line="240" w:lineRule="auto"/>
              <w:jc w:val="center"/>
              <w:rPr>
                <w:rFonts w:ascii="Times New Roman" w:hAnsi="Times New Roman" w:cs="Times New Roman"/>
                <w:sz w:val="20"/>
                <w:szCs w:val="20"/>
              </w:rPr>
            </w:pPr>
            <w:r w:rsidRPr="00E53FC8">
              <w:rPr>
                <w:rFonts w:ascii="Times New Roman" w:hAnsi="Times New Roman" w:cs="Times New Roman"/>
                <w:sz w:val="20"/>
                <w:szCs w:val="20"/>
              </w:rPr>
              <w:t>2 450 484 792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7B3A1CD" w14:textId="412CA825" w:rsidR="00E53FC8" w:rsidRPr="00E53FC8" w:rsidRDefault="00E53FC8" w:rsidP="00E53FC8">
            <w:pPr>
              <w:spacing w:after="0" w:line="240" w:lineRule="auto"/>
              <w:jc w:val="center"/>
              <w:rPr>
                <w:rFonts w:ascii="Times New Roman" w:hAnsi="Times New Roman" w:cs="Times New Roman"/>
                <w:sz w:val="20"/>
                <w:szCs w:val="20"/>
              </w:rPr>
            </w:pPr>
            <w:r w:rsidRPr="00E53FC8">
              <w:rPr>
                <w:rFonts w:ascii="Times New Roman" w:hAnsi="Times New Roman" w:cs="Times New Roman"/>
                <w:sz w:val="20"/>
                <w:szCs w:val="20"/>
              </w:rPr>
              <w:t>775 444 449</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152EEF1" w14:textId="5CF540E3" w:rsidR="00E53FC8" w:rsidRPr="00EB6D39" w:rsidRDefault="00E53FC8" w:rsidP="00E53FC8">
            <w:pPr>
              <w:spacing w:after="0" w:line="240" w:lineRule="auto"/>
              <w:jc w:val="center"/>
              <w:rPr>
                <w:rFonts w:ascii="Times New Roman" w:hAnsi="Times New Roman" w:cs="Times New Roman"/>
                <w:sz w:val="20"/>
                <w:szCs w:val="20"/>
              </w:rPr>
            </w:pPr>
            <w:r w:rsidRPr="00EB6D39">
              <w:rPr>
                <w:rFonts w:ascii="Times New Roman" w:hAnsi="Times New Roman" w:cs="Times New Roman"/>
                <w:b/>
                <w:bCs/>
                <w:sz w:val="20"/>
                <w:szCs w:val="20"/>
              </w:rPr>
              <w:t>8 303 829 873</w:t>
            </w:r>
          </w:p>
        </w:tc>
      </w:tr>
    </w:tbl>
    <w:p w14:paraId="5B492320" w14:textId="77777777" w:rsidR="006032E7" w:rsidRPr="00EB6D39" w:rsidRDefault="006032E7" w:rsidP="002E5CA3">
      <w:pPr>
        <w:spacing w:after="0" w:line="240" w:lineRule="auto"/>
        <w:jc w:val="both"/>
        <w:rPr>
          <w:rFonts w:ascii="Times New Roman" w:hAnsi="Times New Roman" w:cs="Times New Roman"/>
          <w:sz w:val="24"/>
          <w:szCs w:val="24"/>
        </w:rPr>
      </w:pPr>
    </w:p>
    <w:p w14:paraId="56377FC4" w14:textId="77777777" w:rsidR="00837675" w:rsidRPr="00EB6D39" w:rsidRDefault="00336421" w:rsidP="00837675">
      <w:pPr>
        <w:spacing w:after="0" w:line="240" w:lineRule="auto"/>
        <w:jc w:val="both"/>
        <w:rPr>
          <w:rFonts w:ascii="Times New Roman" w:hAnsi="Times New Roman" w:cs="Times New Roman"/>
          <w:sz w:val="24"/>
          <w:szCs w:val="24"/>
        </w:rPr>
        <w:sectPr w:rsidR="00837675" w:rsidRPr="00EB6D39">
          <w:footerReference w:type="default" r:id="rId7"/>
          <w:pgSz w:w="11906" w:h="16838"/>
          <w:pgMar w:top="1417" w:right="1417" w:bottom="1417" w:left="1417" w:header="708" w:footer="708" w:gutter="0"/>
          <w:cols w:space="708"/>
          <w:docGrid w:linePitch="360"/>
        </w:sectPr>
      </w:pPr>
      <w:r w:rsidRPr="00EB6D39">
        <w:rPr>
          <w:rFonts w:ascii="Times New Roman" w:hAnsi="Times New Roman" w:cs="Times New Roman"/>
          <w:sz w:val="24"/>
          <w:szCs w:val="24"/>
        </w:rPr>
        <w:t>Po zohľadnení návrhov od zdravotných poisťovní a po použití prípustnej odchýlky od celkovej sumy skutočných výdavkov jednotlivých zdravotných poisťovní na zdravotnú starostlivosť za kalendárny rok, sa navrhujú takéto sumy</w:t>
      </w:r>
      <w:r w:rsidR="00E74030" w:rsidRPr="00EB6D39">
        <w:rPr>
          <w:rFonts w:ascii="Times New Roman" w:hAnsi="Times New Roman" w:cs="Times New Roman"/>
          <w:sz w:val="24"/>
          <w:szCs w:val="24"/>
        </w:rPr>
        <w:t xml:space="preserve"> pre jednotlivé typy zdravotnej starostlivosti</w:t>
      </w:r>
      <w:r w:rsidRPr="00EB6D39">
        <w:rPr>
          <w:rFonts w:ascii="Times New Roman" w:hAnsi="Times New Roman" w:cs="Times New Roman"/>
          <w:sz w:val="24"/>
          <w:szCs w:val="24"/>
        </w:rPr>
        <w:t>:</w:t>
      </w:r>
    </w:p>
    <w:p w14:paraId="65C9667F" w14:textId="5EC34E9E" w:rsidR="006032E7" w:rsidRPr="00EB6D39" w:rsidRDefault="006032E7" w:rsidP="002E5CA3">
      <w:pPr>
        <w:spacing w:after="0" w:line="240" w:lineRule="auto"/>
        <w:jc w:val="both"/>
        <w:rPr>
          <w:rFonts w:ascii="Times New Roman" w:hAnsi="Times New Roman" w:cs="Times New Roman"/>
          <w:b/>
          <w:bCs/>
        </w:rPr>
      </w:pPr>
      <w:r w:rsidRPr="00EB6D39">
        <w:rPr>
          <w:rFonts w:ascii="Times New Roman" w:hAnsi="Times New Roman" w:cs="Times New Roman"/>
          <w:b/>
          <w:bCs/>
        </w:rPr>
        <w:lastRenderedPageBreak/>
        <w:t>Tabuľka 3: Finálny návrh minimálnych súm výdavkov podľa typov zdravotnej starostlivosti pre rok 2025</w:t>
      </w:r>
    </w:p>
    <w:tbl>
      <w:tblPr>
        <w:tblW w:w="14523" w:type="dxa"/>
        <w:tblCellMar>
          <w:left w:w="70" w:type="dxa"/>
          <w:right w:w="70" w:type="dxa"/>
        </w:tblCellMar>
        <w:tblLook w:val="04A0" w:firstRow="1" w:lastRow="0" w:firstColumn="1" w:lastColumn="0" w:noHBand="0" w:noVBand="1"/>
      </w:tblPr>
      <w:tblGrid>
        <w:gridCol w:w="4810"/>
        <w:gridCol w:w="1417"/>
        <w:gridCol w:w="1418"/>
        <w:gridCol w:w="1417"/>
        <w:gridCol w:w="1418"/>
        <w:gridCol w:w="1417"/>
        <w:gridCol w:w="1276"/>
        <w:gridCol w:w="1350"/>
      </w:tblGrid>
      <w:tr w:rsidR="00EB6D39" w:rsidRPr="00EB6D39" w14:paraId="755F0AA8" w14:textId="77777777" w:rsidTr="0043689D">
        <w:trPr>
          <w:trHeight w:val="258"/>
        </w:trPr>
        <w:tc>
          <w:tcPr>
            <w:tcW w:w="481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5E273D4" w14:textId="77777777" w:rsidR="002036BD" w:rsidRPr="00EB6D39" w:rsidRDefault="002036BD" w:rsidP="002036B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w:t>
            </w:r>
          </w:p>
        </w:tc>
        <w:tc>
          <w:tcPr>
            <w:tcW w:w="9713" w:type="dxa"/>
            <w:gridSpan w:val="7"/>
            <w:tcBorders>
              <w:top w:val="single" w:sz="8" w:space="0" w:color="auto"/>
              <w:left w:val="single" w:sz="4" w:space="0" w:color="auto"/>
              <w:bottom w:val="single" w:sz="4" w:space="0" w:color="auto"/>
              <w:right w:val="single" w:sz="8" w:space="0" w:color="000000"/>
            </w:tcBorders>
            <w:shd w:val="clear" w:color="auto" w:fill="auto"/>
            <w:vAlign w:val="bottom"/>
            <w:hideMark/>
          </w:tcPr>
          <w:p w14:paraId="1B826B67"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Finálny návrh minimálnych súm výdavkov podľa typov zdravotnej starostlivosti pre rok 2025</w:t>
            </w:r>
          </w:p>
        </w:tc>
      </w:tr>
      <w:tr w:rsidR="00EB6D39" w:rsidRPr="00EB6D39" w14:paraId="2389DFDA" w14:textId="77777777" w:rsidTr="0043689D">
        <w:trPr>
          <w:trHeight w:val="776"/>
        </w:trPr>
        <w:tc>
          <w:tcPr>
            <w:tcW w:w="481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5A28D0BB" w14:textId="77777777" w:rsidR="002036BD" w:rsidRPr="00EB6D39" w:rsidRDefault="002036BD" w:rsidP="002036BD">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 xml:space="preserve">Typy zdravotnej starostlivosti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ADC7FF4" w14:textId="77777777" w:rsidR="002036BD" w:rsidRPr="00EB6D39" w:rsidRDefault="002036BD" w:rsidP="002036BD">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Báza roku 2024 korigovaná</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2825B4AB"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Všeobecná zdravotná poisťovňa, a. s.</w:t>
            </w:r>
          </w:p>
        </w:tc>
        <w:tc>
          <w:tcPr>
            <w:tcW w:w="1417" w:type="dxa"/>
            <w:tcBorders>
              <w:top w:val="nil"/>
              <w:left w:val="nil"/>
              <w:bottom w:val="single" w:sz="4" w:space="0" w:color="auto"/>
              <w:right w:val="single" w:sz="4" w:space="0" w:color="auto"/>
            </w:tcBorders>
            <w:shd w:val="clear" w:color="auto" w:fill="auto"/>
            <w:vAlign w:val="center"/>
            <w:hideMark/>
          </w:tcPr>
          <w:p w14:paraId="4990D5DE"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Dôvera zdravotná poisťovňa, a. s.</w:t>
            </w:r>
          </w:p>
        </w:tc>
        <w:tc>
          <w:tcPr>
            <w:tcW w:w="1418" w:type="dxa"/>
            <w:tcBorders>
              <w:top w:val="nil"/>
              <w:left w:val="nil"/>
              <w:bottom w:val="single" w:sz="4" w:space="0" w:color="auto"/>
              <w:right w:val="single" w:sz="4" w:space="0" w:color="auto"/>
            </w:tcBorders>
            <w:shd w:val="clear" w:color="auto" w:fill="auto"/>
            <w:vAlign w:val="center"/>
            <w:hideMark/>
          </w:tcPr>
          <w:p w14:paraId="54698601"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proofErr w:type="spellStart"/>
            <w:r w:rsidRPr="00EB6D39">
              <w:rPr>
                <w:rFonts w:ascii="Times New Roman" w:eastAsia="Times New Roman" w:hAnsi="Times New Roman" w:cs="Times New Roman"/>
                <w:b/>
                <w:bCs/>
                <w:kern w:val="0"/>
                <w:sz w:val="20"/>
                <w:szCs w:val="20"/>
                <w:lang w:eastAsia="sk-SK"/>
                <w14:ligatures w14:val="none"/>
              </w:rPr>
              <w:t>Union</w:t>
            </w:r>
            <w:proofErr w:type="spellEnd"/>
            <w:r w:rsidRPr="00EB6D39">
              <w:rPr>
                <w:rFonts w:ascii="Times New Roman" w:eastAsia="Times New Roman" w:hAnsi="Times New Roman" w:cs="Times New Roman"/>
                <w:b/>
                <w:bCs/>
                <w:kern w:val="0"/>
                <w:sz w:val="20"/>
                <w:szCs w:val="20"/>
                <w:lang w:eastAsia="sk-SK"/>
                <w14:ligatures w14:val="none"/>
              </w:rPr>
              <w:t xml:space="preserve"> zdravotná poisťovňa, a. s.</w:t>
            </w:r>
          </w:p>
        </w:tc>
        <w:tc>
          <w:tcPr>
            <w:tcW w:w="1417" w:type="dxa"/>
            <w:tcBorders>
              <w:top w:val="nil"/>
              <w:left w:val="nil"/>
              <w:bottom w:val="single" w:sz="4" w:space="0" w:color="auto"/>
              <w:right w:val="single" w:sz="4" w:space="0" w:color="auto"/>
            </w:tcBorders>
            <w:shd w:val="clear" w:color="auto" w:fill="auto"/>
            <w:vAlign w:val="center"/>
            <w:hideMark/>
          </w:tcPr>
          <w:p w14:paraId="6F46C4D4"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Spolu</w:t>
            </w:r>
          </w:p>
        </w:tc>
        <w:tc>
          <w:tcPr>
            <w:tcW w:w="1276" w:type="dxa"/>
            <w:tcBorders>
              <w:top w:val="nil"/>
              <w:left w:val="nil"/>
              <w:bottom w:val="single" w:sz="4" w:space="0" w:color="auto"/>
              <w:right w:val="single" w:sz="4" w:space="0" w:color="auto"/>
            </w:tcBorders>
            <w:shd w:val="clear" w:color="auto" w:fill="auto"/>
            <w:vAlign w:val="center"/>
            <w:hideMark/>
          </w:tcPr>
          <w:p w14:paraId="08F9EB82"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nárasty percentuálne voči OS 2024</w:t>
            </w:r>
          </w:p>
        </w:tc>
        <w:tc>
          <w:tcPr>
            <w:tcW w:w="1350" w:type="dxa"/>
            <w:tcBorders>
              <w:top w:val="nil"/>
              <w:left w:val="nil"/>
              <w:bottom w:val="single" w:sz="4" w:space="0" w:color="auto"/>
              <w:right w:val="single" w:sz="8" w:space="0" w:color="auto"/>
            </w:tcBorders>
            <w:shd w:val="clear" w:color="auto" w:fill="auto"/>
            <w:vAlign w:val="center"/>
            <w:hideMark/>
          </w:tcPr>
          <w:p w14:paraId="76CCA2AE" w14:textId="77777777" w:rsidR="002036BD" w:rsidRPr="00EB6D39" w:rsidRDefault="002036BD" w:rsidP="002036B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nárast v eurách voči OS 2024</w:t>
            </w:r>
          </w:p>
        </w:tc>
      </w:tr>
      <w:tr w:rsidR="00E53FC8" w:rsidRPr="00EB6D39" w14:paraId="24399A07"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center"/>
            <w:hideMark/>
          </w:tcPr>
          <w:p w14:paraId="7B5D84BC" w14:textId="77777777" w:rsidR="00E53FC8" w:rsidRPr="00EB6D39" w:rsidRDefault="00E53FC8" w:rsidP="00E53FC8">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Zdravotná starostlivosť</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A18A2" w14:textId="03CE679B"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7 896 713 364</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74FCDE6" w14:textId="04DBE48F"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4 975 315 328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B9AE298" w14:textId="48CE0604"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2 402 570 145</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FF3CCBE" w14:textId="2A7D3719"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760 721 670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702619A" w14:textId="3AE116DE"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8 138 607 143</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1671CD9" w14:textId="2504DC5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3,06%</w:t>
            </w:r>
          </w:p>
        </w:tc>
        <w:tc>
          <w:tcPr>
            <w:tcW w:w="1350" w:type="dxa"/>
            <w:tcBorders>
              <w:top w:val="single" w:sz="4" w:space="0" w:color="auto"/>
              <w:left w:val="nil"/>
              <w:bottom w:val="single" w:sz="4" w:space="0" w:color="auto"/>
              <w:right w:val="single" w:sz="8" w:space="0" w:color="auto"/>
            </w:tcBorders>
            <w:shd w:val="clear" w:color="auto" w:fill="auto"/>
            <w:noWrap/>
            <w:vAlign w:val="center"/>
            <w:hideMark/>
          </w:tcPr>
          <w:p w14:paraId="7BCA8ABE" w14:textId="72159CF8"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241 893 779</w:t>
            </w:r>
          </w:p>
        </w:tc>
      </w:tr>
      <w:tr w:rsidR="00E53FC8" w:rsidRPr="00EB6D39" w14:paraId="5F9D4826"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50D6D3E3"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Lieky a dietetické potraviny</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5C8B8108" w14:textId="59469837"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1 649 713 188</w:t>
            </w:r>
          </w:p>
        </w:tc>
        <w:tc>
          <w:tcPr>
            <w:tcW w:w="1418" w:type="dxa"/>
            <w:tcBorders>
              <w:top w:val="nil"/>
              <w:left w:val="nil"/>
              <w:bottom w:val="single" w:sz="4" w:space="0" w:color="auto"/>
              <w:right w:val="single" w:sz="4" w:space="0" w:color="auto"/>
            </w:tcBorders>
            <w:shd w:val="clear" w:color="auto" w:fill="auto"/>
            <w:noWrap/>
            <w:vAlign w:val="center"/>
            <w:hideMark/>
          </w:tcPr>
          <w:p w14:paraId="6EE1FA60" w14:textId="33C5075D"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1 020 034 608</w:t>
            </w:r>
          </w:p>
        </w:tc>
        <w:tc>
          <w:tcPr>
            <w:tcW w:w="1417" w:type="dxa"/>
            <w:tcBorders>
              <w:top w:val="nil"/>
              <w:left w:val="nil"/>
              <w:bottom w:val="single" w:sz="4" w:space="0" w:color="auto"/>
              <w:right w:val="single" w:sz="4" w:space="0" w:color="auto"/>
            </w:tcBorders>
            <w:shd w:val="clear" w:color="auto" w:fill="auto"/>
            <w:noWrap/>
            <w:vAlign w:val="center"/>
            <w:hideMark/>
          </w:tcPr>
          <w:p w14:paraId="6E4F3959" w14:textId="42DB2C90"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456 923 060</w:t>
            </w:r>
          </w:p>
        </w:tc>
        <w:tc>
          <w:tcPr>
            <w:tcW w:w="1418" w:type="dxa"/>
            <w:tcBorders>
              <w:top w:val="nil"/>
              <w:left w:val="nil"/>
              <w:bottom w:val="single" w:sz="4" w:space="0" w:color="auto"/>
              <w:right w:val="single" w:sz="4" w:space="0" w:color="auto"/>
            </w:tcBorders>
            <w:shd w:val="clear" w:color="auto" w:fill="auto"/>
            <w:noWrap/>
            <w:vAlign w:val="center"/>
            <w:hideMark/>
          </w:tcPr>
          <w:p w14:paraId="7057EA90" w14:textId="3637B7CC"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128 387 979</w:t>
            </w:r>
          </w:p>
        </w:tc>
        <w:tc>
          <w:tcPr>
            <w:tcW w:w="1417" w:type="dxa"/>
            <w:tcBorders>
              <w:top w:val="nil"/>
              <w:left w:val="nil"/>
              <w:bottom w:val="single" w:sz="4" w:space="0" w:color="auto"/>
              <w:right w:val="single" w:sz="4" w:space="0" w:color="auto"/>
            </w:tcBorders>
            <w:shd w:val="clear" w:color="auto" w:fill="auto"/>
            <w:noWrap/>
            <w:vAlign w:val="center"/>
            <w:hideMark/>
          </w:tcPr>
          <w:p w14:paraId="77CE916B" w14:textId="24E735AA"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1 605 345 647</w:t>
            </w:r>
          </w:p>
        </w:tc>
        <w:tc>
          <w:tcPr>
            <w:tcW w:w="1276" w:type="dxa"/>
            <w:tcBorders>
              <w:top w:val="nil"/>
              <w:left w:val="nil"/>
              <w:bottom w:val="single" w:sz="4" w:space="0" w:color="auto"/>
              <w:right w:val="single" w:sz="4" w:space="0" w:color="auto"/>
            </w:tcBorders>
            <w:shd w:val="clear" w:color="auto" w:fill="auto"/>
            <w:noWrap/>
            <w:vAlign w:val="center"/>
            <w:hideMark/>
          </w:tcPr>
          <w:p w14:paraId="4AADA07E" w14:textId="5B00B1CF"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-2,69%</w:t>
            </w:r>
          </w:p>
        </w:tc>
        <w:tc>
          <w:tcPr>
            <w:tcW w:w="1350" w:type="dxa"/>
            <w:tcBorders>
              <w:top w:val="nil"/>
              <w:left w:val="nil"/>
              <w:bottom w:val="single" w:sz="4" w:space="0" w:color="auto"/>
              <w:right w:val="single" w:sz="8" w:space="0" w:color="auto"/>
            </w:tcBorders>
            <w:shd w:val="clear" w:color="auto" w:fill="auto"/>
            <w:noWrap/>
            <w:vAlign w:val="center"/>
            <w:hideMark/>
          </w:tcPr>
          <w:p w14:paraId="01F2EDE6" w14:textId="061BE199"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-44 367 541</w:t>
            </w:r>
          </w:p>
        </w:tc>
      </w:tr>
      <w:tr w:rsidR="00E53FC8" w:rsidRPr="00EB6D39" w14:paraId="30AA9A33"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2FE5D178"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Zdravotnícke pomôcky</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EA1B626" w14:textId="7F0FCC54"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301 493 895</w:t>
            </w:r>
          </w:p>
        </w:tc>
        <w:tc>
          <w:tcPr>
            <w:tcW w:w="1418" w:type="dxa"/>
            <w:tcBorders>
              <w:top w:val="nil"/>
              <w:left w:val="nil"/>
              <w:bottom w:val="single" w:sz="4" w:space="0" w:color="auto"/>
              <w:right w:val="single" w:sz="4" w:space="0" w:color="auto"/>
            </w:tcBorders>
            <w:shd w:val="clear" w:color="auto" w:fill="auto"/>
            <w:noWrap/>
            <w:vAlign w:val="center"/>
            <w:hideMark/>
          </w:tcPr>
          <w:p w14:paraId="3CD58335" w14:textId="5E7C2874"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195 769 274</w:t>
            </w:r>
          </w:p>
        </w:tc>
        <w:tc>
          <w:tcPr>
            <w:tcW w:w="1417" w:type="dxa"/>
            <w:tcBorders>
              <w:top w:val="nil"/>
              <w:left w:val="nil"/>
              <w:bottom w:val="single" w:sz="4" w:space="0" w:color="auto"/>
              <w:right w:val="single" w:sz="4" w:space="0" w:color="auto"/>
            </w:tcBorders>
            <w:shd w:val="clear" w:color="auto" w:fill="auto"/>
            <w:noWrap/>
            <w:vAlign w:val="center"/>
            <w:hideMark/>
          </w:tcPr>
          <w:p w14:paraId="661752F5" w14:textId="26B63A88"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81 534 706</w:t>
            </w:r>
          </w:p>
        </w:tc>
        <w:tc>
          <w:tcPr>
            <w:tcW w:w="1418" w:type="dxa"/>
            <w:tcBorders>
              <w:top w:val="nil"/>
              <w:left w:val="nil"/>
              <w:bottom w:val="single" w:sz="4" w:space="0" w:color="auto"/>
              <w:right w:val="single" w:sz="4" w:space="0" w:color="auto"/>
            </w:tcBorders>
            <w:shd w:val="clear" w:color="auto" w:fill="auto"/>
            <w:noWrap/>
            <w:vAlign w:val="center"/>
            <w:hideMark/>
          </w:tcPr>
          <w:p w14:paraId="27D65E84" w14:textId="18D31B6F"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23 199 979</w:t>
            </w:r>
          </w:p>
        </w:tc>
        <w:tc>
          <w:tcPr>
            <w:tcW w:w="1417" w:type="dxa"/>
            <w:tcBorders>
              <w:top w:val="nil"/>
              <w:left w:val="nil"/>
              <w:bottom w:val="single" w:sz="4" w:space="0" w:color="auto"/>
              <w:right w:val="single" w:sz="4" w:space="0" w:color="auto"/>
            </w:tcBorders>
            <w:shd w:val="clear" w:color="auto" w:fill="auto"/>
            <w:noWrap/>
            <w:vAlign w:val="center"/>
            <w:hideMark/>
          </w:tcPr>
          <w:p w14:paraId="65F4BBCD" w14:textId="4C714608"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300 503 958</w:t>
            </w:r>
          </w:p>
        </w:tc>
        <w:tc>
          <w:tcPr>
            <w:tcW w:w="1276" w:type="dxa"/>
            <w:tcBorders>
              <w:top w:val="nil"/>
              <w:left w:val="nil"/>
              <w:bottom w:val="single" w:sz="4" w:space="0" w:color="auto"/>
              <w:right w:val="single" w:sz="4" w:space="0" w:color="auto"/>
            </w:tcBorders>
            <w:shd w:val="clear" w:color="auto" w:fill="auto"/>
            <w:noWrap/>
            <w:vAlign w:val="center"/>
            <w:hideMark/>
          </w:tcPr>
          <w:p w14:paraId="78D59D1B" w14:textId="67C8DF1B"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-0,33%</w:t>
            </w:r>
          </w:p>
        </w:tc>
        <w:tc>
          <w:tcPr>
            <w:tcW w:w="1350" w:type="dxa"/>
            <w:tcBorders>
              <w:top w:val="nil"/>
              <w:left w:val="nil"/>
              <w:bottom w:val="single" w:sz="4" w:space="0" w:color="auto"/>
              <w:right w:val="single" w:sz="8" w:space="0" w:color="auto"/>
            </w:tcBorders>
            <w:shd w:val="clear" w:color="auto" w:fill="auto"/>
            <w:noWrap/>
            <w:vAlign w:val="center"/>
            <w:hideMark/>
          </w:tcPr>
          <w:p w14:paraId="35F91BC1" w14:textId="1D58F1B4"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-989 937</w:t>
            </w:r>
          </w:p>
        </w:tc>
      </w:tr>
      <w:tr w:rsidR="00E53FC8" w:rsidRPr="00EB6D39" w14:paraId="797598D5"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1BEA5D43"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Ústavná zdravotná starostlivosť </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090898CD" w14:textId="608883D1"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2 767 126 181</w:t>
            </w:r>
          </w:p>
        </w:tc>
        <w:tc>
          <w:tcPr>
            <w:tcW w:w="1418" w:type="dxa"/>
            <w:tcBorders>
              <w:top w:val="nil"/>
              <w:left w:val="nil"/>
              <w:bottom w:val="single" w:sz="4" w:space="0" w:color="auto"/>
              <w:right w:val="single" w:sz="4" w:space="0" w:color="auto"/>
            </w:tcBorders>
            <w:shd w:val="clear" w:color="auto" w:fill="auto"/>
            <w:noWrap/>
            <w:vAlign w:val="center"/>
            <w:hideMark/>
          </w:tcPr>
          <w:p w14:paraId="29DAB290" w14:textId="5DD8F8B2"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1 798 282 773</w:t>
            </w:r>
          </w:p>
        </w:tc>
        <w:tc>
          <w:tcPr>
            <w:tcW w:w="1417" w:type="dxa"/>
            <w:tcBorders>
              <w:top w:val="nil"/>
              <w:left w:val="nil"/>
              <w:bottom w:val="single" w:sz="4" w:space="0" w:color="auto"/>
              <w:right w:val="single" w:sz="4" w:space="0" w:color="auto"/>
            </w:tcBorders>
            <w:shd w:val="clear" w:color="auto" w:fill="auto"/>
            <w:noWrap/>
            <w:vAlign w:val="center"/>
            <w:hideMark/>
          </w:tcPr>
          <w:p w14:paraId="4600F9BB" w14:textId="3E9E77D8"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860 730 625</w:t>
            </w:r>
          </w:p>
        </w:tc>
        <w:tc>
          <w:tcPr>
            <w:tcW w:w="1418" w:type="dxa"/>
            <w:tcBorders>
              <w:top w:val="nil"/>
              <w:left w:val="nil"/>
              <w:bottom w:val="single" w:sz="4" w:space="0" w:color="auto"/>
              <w:right w:val="single" w:sz="4" w:space="0" w:color="auto"/>
            </w:tcBorders>
            <w:shd w:val="clear" w:color="auto" w:fill="auto"/>
            <w:noWrap/>
            <w:vAlign w:val="center"/>
            <w:hideMark/>
          </w:tcPr>
          <w:p w14:paraId="2E795659" w14:textId="20F73C91"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252 442 714</w:t>
            </w:r>
          </w:p>
        </w:tc>
        <w:tc>
          <w:tcPr>
            <w:tcW w:w="1417" w:type="dxa"/>
            <w:tcBorders>
              <w:top w:val="nil"/>
              <w:left w:val="nil"/>
              <w:bottom w:val="single" w:sz="4" w:space="0" w:color="auto"/>
              <w:right w:val="single" w:sz="4" w:space="0" w:color="auto"/>
            </w:tcBorders>
            <w:shd w:val="clear" w:color="auto" w:fill="auto"/>
            <w:noWrap/>
            <w:vAlign w:val="center"/>
            <w:hideMark/>
          </w:tcPr>
          <w:p w14:paraId="7FF25EE2" w14:textId="40023F76"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2 911 456 111</w:t>
            </w:r>
          </w:p>
        </w:tc>
        <w:tc>
          <w:tcPr>
            <w:tcW w:w="1276" w:type="dxa"/>
            <w:tcBorders>
              <w:top w:val="nil"/>
              <w:left w:val="nil"/>
              <w:bottom w:val="single" w:sz="4" w:space="0" w:color="auto"/>
              <w:right w:val="single" w:sz="4" w:space="0" w:color="auto"/>
            </w:tcBorders>
            <w:shd w:val="clear" w:color="auto" w:fill="auto"/>
            <w:noWrap/>
            <w:vAlign w:val="center"/>
            <w:hideMark/>
          </w:tcPr>
          <w:p w14:paraId="102EFA0B" w14:textId="68B010AF"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5,22%</w:t>
            </w:r>
          </w:p>
        </w:tc>
        <w:tc>
          <w:tcPr>
            <w:tcW w:w="1350" w:type="dxa"/>
            <w:tcBorders>
              <w:top w:val="nil"/>
              <w:left w:val="nil"/>
              <w:bottom w:val="single" w:sz="4" w:space="0" w:color="auto"/>
              <w:right w:val="single" w:sz="8" w:space="0" w:color="auto"/>
            </w:tcBorders>
            <w:shd w:val="clear" w:color="auto" w:fill="auto"/>
            <w:noWrap/>
            <w:vAlign w:val="center"/>
            <w:hideMark/>
          </w:tcPr>
          <w:p w14:paraId="753B27DF" w14:textId="64581DBA"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144 329 930</w:t>
            </w:r>
          </w:p>
        </w:tc>
      </w:tr>
      <w:tr w:rsidR="00E53FC8" w:rsidRPr="00EB6D39" w14:paraId="4FC8DE92" w14:textId="77777777" w:rsidTr="00E53FC8">
        <w:trPr>
          <w:trHeight w:val="1369"/>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356081B0" w14:textId="77777777" w:rsidR="00E53FC8" w:rsidRPr="00EB6D39" w:rsidRDefault="00E53FC8" w:rsidP="00E53FC8">
            <w:pPr>
              <w:spacing w:after="0" w:line="240" w:lineRule="auto"/>
              <w:rPr>
                <w:rFonts w:ascii="Times New Roman" w:eastAsia="Times New Roman" w:hAnsi="Times New Roman" w:cs="Times New Roman"/>
                <w:sz w:val="18"/>
                <w:szCs w:val="18"/>
                <w:lang w:eastAsia="sk-SK"/>
              </w:rPr>
            </w:pPr>
            <w:bookmarkStart w:id="0" w:name="OLE_LINK1"/>
            <w:bookmarkStart w:id="1" w:name="_Hlk193610043"/>
            <w:r w:rsidRPr="00EB6D39">
              <w:rPr>
                <w:rFonts w:ascii="Times New Roman" w:hAnsi="Times New Roman" w:cs="Times New Roman"/>
                <w:sz w:val="18"/>
                <w:szCs w:val="18"/>
                <w:lang w:eastAsia="sk-SK"/>
              </w:rPr>
              <w:t>Nad rozsah riadku „Ústavná zdravotná starostlivosť“, Ú</w:t>
            </w:r>
            <w:r w:rsidRPr="00EB6D39">
              <w:rPr>
                <w:rFonts w:ascii="Times New Roman" w:eastAsia="Times New Roman" w:hAnsi="Times New Roman" w:cs="Times New Roman"/>
                <w:sz w:val="18"/>
                <w:szCs w:val="18"/>
                <w:lang w:eastAsia="sk-SK"/>
              </w:rPr>
              <w:t xml:space="preserve">stavná zdravotná starostlivosť poskytovaná v nemocniciach, ktoré sú </w:t>
            </w:r>
          </w:p>
          <w:p w14:paraId="525C1AD2" w14:textId="1E96F4CA" w:rsidR="00E53FC8" w:rsidRPr="00EB6D39" w:rsidRDefault="00E53FC8" w:rsidP="00E53FC8">
            <w:pPr>
              <w:pStyle w:val="Odsekzoznamu"/>
              <w:numPr>
                <w:ilvl w:val="0"/>
                <w:numId w:val="42"/>
              </w:numPr>
              <w:spacing w:after="0" w:line="240" w:lineRule="auto"/>
              <w:ind w:left="357"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uvedené v zozname nemocníc</w:t>
            </w:r>
            <w:r w:rsidRPr="00EB6D39">
              <w:rPr>
                <w:rStyle w:val="Odkaznapoznmkupodiarou"/>
                <w:rFonts w:ascii="Times New Roman" w:hAnsi="Times New Roman" w:cs="Times New Roman"/>
                <w:sz w:val="18"/>
                <w:szCs w:val="18"/>
                <w:lang w:eastAsia="sk-SK"/>
              </w:rPr>
              <w:t xml:space="preserve"> </w:t>
            </w:r>
            <w:r w:rsidRPr="00EB6D39">
              <w:rPr>
                <w:rStyle w:val="Odkaznapoznmkupodiarou"/>
                <w:rFonts w:ascii="Times New Roman" w:hAnsi="Times New Roman" w:cs="Times New Roman"/>
                <w:sz w:val="18"/>
                <w:szCs w:val="18"/>
                <w:lang w:eastAsia="sk-SK"/>
              </w:rPr>
              <w:footnoteReference w:id="1"/>
            </w:r>
            <w:r w:rsidRPr="00EB6D39">
              <w:rPr>
                <w:rFonts w:ascii="Times New Roman" w:hAnsi="Times New Roman" w:cs="Times New Roman"/>
                <w:sz w:val="18"/>
                <w:szCs w:val="18"/>
                <w:lang w:eastAsia="sk-SK"/>
              </w:rPr>
              <w:t>) a ktorých procesy riadenia centrálne koordinuje Ministerstvo zdravotníctva Slovenskej republiky</w:t>
            </w:r>
            <w:r w:rsidR="000C3E95">
              <w:rPr>
                <w:rFonts w:ascii="Times New Roman" w:hAnsi="Times New Roman" w:cs="Times New Roman"/>
                <w:sz w:val="18"/>
                <w:szCs w:val="18"/>
                <w:lang w:eastAsia="sk-SK"/>
              </w:rPr>
              <w:t>,</w:t>
            </w:r>
            <w:r w:rsidRPr="00EB6D39">
              <w:rPr>
                <w:rFonts w:ascii="Times New Roman" w:hAnsi="Times New Roman" w:cs="Times New Roman"/>
                <w:sz w:val="18"/>
                <w:szCs w:val="18"/>
                <w:lang w:eastAsia="sk-SK"/>
              </w:rPr>
              <w:t xml:space="preserve"> </w:t>
            </w:r>
          </w:p>
          <w:p w14:paraId="327DDAFB" w14:textId="77777777" w:rsidR="00E53FC8" w:rsidRPr="00EB6D39" w:rsidRDefault="00E53FC8" w:rsidP="00E53FC8">
            <w:pPr>
              <w:pStyle w:val="Odsekzoznamu"/>
              <w:numPr>
                <w:ilvl w:val="0"/>
                <w:numId w:val="42"/>
              </w:numPr>
              <w:spacing w:after="0" w:line="240" w:lineRule="auto"/>
              <w:ind w:left="357"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príspevkovou organizáciou Ministerstva obrany Slovenskej republiky, a</w:t>
            </w:r>
          </w:p>
          <w:p w14:paraId="2146B038" w14:textId="59932725" w:rsidR="00E53FC8" w:rsidRPr="00EB6D39" w:rsidRDefault="00E53FC8" w:rsidP="00E53FC8">
            <w:pPr>
              <w:pStyle w:val="Odsekzoznamu"/>
              <w:numPr>
                <w:ilvl w:val="0"/>
                <w:numId w:val="42"/>
              </w:numPr>
              <w:spacing w:after="0" w:line="240" w:lineRule="auto"/>
              <w:ind w:left="357"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akciovou spoločnosťou</w:t>
            </w:r>
            <w:r w:rsidR="00A84765" w:rsidRPr="00A84765">
              <w:rPr>
                <w:rFonts w:ascii="Times New Roman" w:hAnsi="Times New Roman" w:cs="Times New Roman"/>
                <w:sz w:val="18"/>
                <w:szCs w:val="18"/>
                <w:lang w:eastAsia="sk-SK"/>
              </w:rPr>
              <w:t xml:space="preserve"> v zakladateľskej pôsobnosti Ministerstva vnútra Slovenskej republiky</w:t>
            </w:r>
          </w:p>
          <w:bookmarkEnd w:id="0"/>
          <w:p w14:paraId="2F752947" w14:textId="3DC24E4F"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CBD530C" w14:textId="02A711C3"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191 000 000</w:t>
            </w:r>
          </w:p>
        </w:tc>
        <w:tc>
          <w:tcPr>
            <w:tcW w:w="1418" w:type="dxa"/>
            <w:tcBorders>
              <w:top w:val="nil"/>
              <w:left w:val="nil"/>
              <w:bottom w:val="single" w:sz="4" w:space="0" w:color="auto"/>
              <w:right w:val="single" w:sz="4" w:space="0" w:color="auto"/>
            </w:tcBorders>
            <w:shd w:val="clear" w:color="auto" w:fill="auto"/>
            <w:noWrap/>
            <w:vAlign w:val="center"/>
            <w:hideMark/>
          </w:tcPr>
          <w:p w14:paraId="4627CD6C" w14:textId="4E938469"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117 971 744</w:t>
            </w:r>
          </w:p>
        </w:tc>
        <w:tc>
          <w:tcPr>
            <w:tcW w:w="1417" w:type="dxa"/>
            <w:tcBorders>
              <w:top w:val="nil"/>
              <w:left w:val="nil"/>
              <w:bottom w:val="single" w:sz="4" w:space="0" w:color="auto"/>
              <w:right w:val="single" w:sz="4" w:space="0" w:color="auto"/>
            </w:tcBorders>
            <w:shd w:val="clear" w:color="auto" w:fill="auto"/>
            <w:noWrap/>
            <w:vAlign w:val="center"/>
            <w:hideMark/>
          </w:tcPr>
          <w:p w14:paraId="00008ED1" w14:textId="482D4367"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56 480 908</w:t>
            </w:r>
          </w:p>
        </w:tc>
        <w:tc>
          <w:tcPr>
            <w:tcW w:w="1418" w:type="dxa"/>
            <w:tcBorders>
              <w:top w:val="nil"/>
              <w:left w:val="nil"/>
              <w:bottom w:val="single" w:sz="4" w:space="0" w:color="auto"/>
              <w:right w:val="single" w:sz="4" w:space="0" w:color="auto"/>
            </w:tcBorders>
            <w:shd w:val="clear" w:color="auto" w:fill="auto"/>
            <w:noWrap/>
            <w:vAlign w:val="center"/>
            <w:hideMark/>
          </w:tcPr>
          <w:p w14:paraId="30738E97" w14:textId="37FD8F20"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16 547 347</w:t>
            </w:r>
          </w:p>
        </w:tc>
        <w:tc>
          <w:tcPr>
            <w:tcW w:w="1417" w:type="dxa"/>
            <w:tcBorders>
              <w:top w:val="nil"/>
              <w:left w:val="nil"/>
              <w:bottom w:val="single" w:sz="4" w:space="0" w:color="auto"/>
              <w:right w:val="single" w:sz="4" w:space="0" w:color="auto"/>
            </w:tcBorders>
            <w:shd w:val="clear" w:color="auto" w:fill="auto"/>
            <w:noWrap/>
            <w:vAlign w:val="center"/>
            <w:hideMark/>
          </w:tcPr>
          <w:p w14:paraId="5C320634" w14:textId="698B34F1"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191 000 000</w:t>
            </w:r>
          </w:p>
        </w:tc>
        <w:tc>
          <w:tcPr>
            <w:tcW w:w="1276" w:type="dxa"/>
            <w:tcBorders>
              <w:top w:val="nil"/>
              <w:left w:val="nil"/>
              <w:bottom w:val="single" w:sz="4" w:space="0" w:color="auto"/>
              <w:right w:val="single" w:sz="4" w:space="0" w:color="auto"/>
            </w:tcBorders>
            <w:shd w:val="clear" w:color="auto" w:fill="auto"/>
            <w:noWrap/>
            <w:vAlign w:val="center"/>
            <w:hideMark/>
          </w:tcPr>
          <w:p w14:paraId="0624EE3B" w14:textId="345E4D8A"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0,00%</w:t>
            </w:r>
          </w:p>
        </w:tc>
        <w:tc>
          <w:tcPr>
            <w:tcW w:w="1350" w:type="dxa"/>
            <w:tcBorders>
              <w:top w:val="nil"/>
              <w:left w:val="nil"/>
              <w:bottom w:val="single" w:sz="4" w:space="0" w:color="auto"/>
              <w:right w:val="single" w:sz="8" w:space="0" w:color="auto"/>
            </w:tcBorders>
            <w:shd w:val="clear" w:color="auto" w:fill="auto"/>
            <w:noWrap/>
            <w:vAlign w:val="center"/>
            <w:hideMark/>
          </w:tcPr>
          <w:p w14:paraId="51D41224" w14:textId="1DCC9EF9"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0</w:t>
            </w:r>
          </w:p>
        </w:tc>
      </w:tr>
      <w:bookmarkEnd w:id="1"/>
      <w:tr w:rsidR="00E53FC8" w:rsidRPr="00EB6D39" w14:paraId="7AEECCD0"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680F6BAA"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Všeobecná ambulantná zdravotná starostlivosť</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2A256CA" w14:textId="40C86B3F"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471 912 636</w:t>
            </w:r>
          </w:p>
        </w:tc>
        <w:tc>
          <w:tcPr>
            <w:tcW w:w="1418" w:type="dxa"/>
            <w:tcBorders>
              <w:top w:val="nil"/>
              <w:left w:val="nil"/>
              <w:bottom w:val="single" w:sz="4" w:space="0" w:color="auto"/>
              <w:right w:val="single" w:sz="4" w:space="0" w:color="auto"/>
            </w:tcBorders>
            <w:shd w:val="clear" w:color="auto" w:fill="auto"/>
            <w:noWrap/>
            <w:vAlign w:val="center"/>
            <w:hideMark/>
          </w:tcPr>
          <w:p w14:paraId="18E84ACB" w14:textId="6B30EF63"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266 714 547</w:t>
            </w:r>
          </w:p>
        </w:tc>
        <w:tc>
          <w:tcPr>
            <w:tcW w:w="1417" w:type="dxa"/>
            <w:tcBorders>
              <w:top w:val="nil"/>
              <w:left w:val="nil"/>
              <w:bottom w:val="single" w:sz="4" w:space="0" w:color="auto"/>
              <w:right w:val="single" w:sz="4" w:space="0" w:color="auto"/>
            </w:tcBorders>
            <w:shd w:val="clear" w:color="auto" w:fill="auto"/>
            <w:noWrap/>
            <w:vAlign w:val="center"/>
            <w:hideMark/>
          </w:tcPr>
          <w:p w14:paraId="228A0532" w14:textId="2CC4F722"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172 959 916</w:t>
            </w:r>
          </w:p>
        </w:tc>
        <w:tc>
          <w:tcPr>
            <w:tcW w:w="1418" w:type="dxa"/>
            <w:tcBorders>
              <w:top w:val="nil"/>
              <w:left w:val="nil"/>
              <w:bottom w:val="single" w:sz="4" w:space="0" w:color="auto"/>
              <w:right w:val="single" w:sz="4" w:space="0" w:color="auto"/>
            </w:tcBorders>
            <w:shd w:val="clear" w:color="auto" w:fill="auto"/>
            <w:noWrap/>
            <w:vAlign w:val="center"/>
            <w:hideMark/>
          </w:tcPr>
          <w:p w14:paraId="23F61287" w14:textId="6F86DC05"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56 884 784</w:t>
            </w:r>
          </w:p>
        </w:tc>
        <w:tc>
          <w:tcPr>
            <w:tcW w:w="1417" w:type="dxa"/>
            <w:tcBorders>
              <w:top w:val="nil"/>
              <w:left w:val="nil"/>
              <w:bottom w:val="single" w:sz="4" w:space="0" w:color="auto"/>
              <w:right w:val="single" w:sz="4" w:space="0" w:color="auto"/>
            </w:tcBorders>
            <w:shd w:val="clear" w:color="auto" w:fill="auto"/>
            <w:noWrap/>
            <w:vAlign w:val="center"/>
            <w:hideMark/>
          </w:tcPr>
          <w:p w14:paraId="323183D6" w14:textId="3DA77B54"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496 559 246</w:t>
            </w:r>
          </w:p>
        </w:tc>
        <w:tc>
          <w:tcPr>
            <w:tcW w:w="1276" w:type="dxa"/>
            <w:tcBorders>
              <w:top w:val="nil"/>
              <w:left w:val="nil"/>
              <w:bottom w:val="single" w:sz="4" w:space="0" w:color="auto"/>
              <w:right w:val="single" w:sz="4" w:space="0" w:color="auto"/>
            </w:tcBorders>
            <w:shd w:val="clear" w:color="auto" w:fill="auto"/>
            <w:noWrap/>
            <w:vAlign w:val="center"/>
            <w:hideMark/>
          </w:tcPr>
          <w:p w14:paraId="309B6476" w14:textId="0A4CFA0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5,22%</w:t>
            </w:r>
          </w:p>
        </w:tc>
        <w:tc>
          <w:tcPr>
            <w:tcW w:w="1350" w:type="dxa"/>
            <w:tcBorders>
              <w:top w:val="nil"/>
              <w:left w:val="nil"/>
              <w:bottom w:val="single" w:sz="4" w:space="0" w:color="auto"/>
              <w:right w:val="single" w:sz="8" w:space="0" w:color="auto"/>
            </w:tcBorders>
            <w:shd w:val="clear" w:color="auto" w:fill="auto"/>
            <w:noWrap/>
            <w:vAlign w:val="center"/>
            <w:hideMark/>
          </w:tcPr>
          <w:p w14:paraId="5469D3CA" w14:textId="4AADEAA5"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24 646 610</w:t>
            </w:r>
          </w:p>
        </w:tc>
      </w:tr>
      <w:tr w:rsidR="00E53FC8" w:rsidRPr="00EB6D39" w14:paraId="4E34C1C3"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36343F00"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Spoločné vyšetrovacie a liečebné zložky</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0D61AB29" w14:textId="29B58E0C"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574 417 913</w:t>
            </w:r>
          </w:p>
        </w:tc>
        <w:tc>
          <w:tcPr>
            <w:tcW w:w="1418" w:type="dxa"/>
            <w:tcBorders>
              <w:top w:val="nil"/>
              <w:left w:val="nil"/>
              <w:bottom w:val="single" w:sz="4" w:space="0" w:color="auto"/>
              <w:right w:val="single" w:sz="4" w:space="0" w:color="auto"/>
            </w:tcBorders>
            <w:shd w:val="clear" w:color="auto" w:fill="auto"/>
            <w:noWrap/>
            <w:vAlign w:val="center"/>
            <w:hideMark/>
          </w:tcPr>
          <w:p w14:paraId="76EFF44C" w14:textId="5314D43F"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374 556 702</w:t>
            </w:r>
          </w:p>
        </w:tc>
        <w:tc>
          <w:tcPr>
            <w:tcW w:w="1417" w:type="dxa"/>
            <w:tcBorders>
              <w:top w:val="nil"/>
              <w:left w:val="nil"/>
              <w:bottom w:val="single" w:sz="4" w:space="0" w:color="auto"/>
              <w:right w:val="single" w:sz="4" w:space="0" w:color="auto"/>
            </w:tcBorders>
            <w:shd w:val="clear" w:color="auto" w:fill="auto"/>
            <w:noWrap/>
            <w:vAlign w:val="center"/>
            <w:hideMark/>
          </w:tcPr>
          <w:p w14:paraId="6E7BEE7C" w14:textId="0C550221"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161 753 718</w:t>
            </w:r>
          </w:p>
        </w:tc>
        <w:tc>
          <w:tcPr>
            <w:tcW w:w="1418" w:type="dxa"/>
            <w:tcBorders>
              <w:top w:val="nil"/>
              <w:left w:val="nil"/>
              <w:bottom w:val="single" w:sz="4" w:space="0" w:color="auto"/>
              <w:right w:val="single" w:sz="4" w:space="0" w:color="auto"/>
            </w:tcBorders>
            <w:shd w:val="clear" w:color="auto" w:fill="auto"/>
            <w:noWrap/>
            <w:vAlign w:val="center"/>
            <w:hideMark/>
          </w:tcPr>
          <w:p w14:paraId="2378F406" w14:textId="7F26FF6C"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67 890 154</w:t>
            </w:r>
          </w:p>
        </w:tc>
        <w:tc>
          <w:tcPr>
            <w:tcW w:w="1417" w:type="dxa"/>
            <w:tcBorders>
              <w:top w:val="nil"/>
              <w:left w:val="nil"/>
              <w:bottom w:val="single" w:sz="4" w:space="0" w:color="auto"/>
              <w:right w:val="single" w:sz="4" w:space="0" w:color="auto"/>
            </w:tcBorders>
            <w:shd w:val="clear" w:color="auto" w:fill="auto"/>
            <w:noWrap/>
            <w:vAlign w:val="center"/>
            <w:hideMark/>
          </w:tcPr>
          <w:p w14:paraId="72365016" w14:textId="2C397180"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604 200 574</w:t>
            </w:r>
          </w:p>
        </w:tc>
        <w:tc>
          <w:tcPr>
            <w:tcW w:w="1276" w:type="dxa"/>
            <w:tcBorders>
              <w:top w:val="nil"/>
              <w:left w:val="nil"/>
              <w:bottom w:val="single" w:sz="4" w:space="0" w:color="auto"/>
              <w:right w:val="single" w:sz="4" w:space="0" w:color="auto"/>
            </w:tcBorders>
            <w:shd w:val="clear" w:color="auto" w:fill="auto"/>
            <w:noWrap/>
            <w:vAlign w:val="center"/>
            <w:hideMark/>
          </w:tcPr>
          <w:p w14:paraId="28AB47E4" w14:textId="24ECB96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5,18%</w:t>
            </w:r>
          </w:p>
        </w:tc>
        <w:tc>
          <w:tcPr>
            <w:tcW w:w="1350" w:type="dxa"/>
            <w:tcBorders>
              <w:top w:val="nil"/>
              <w:left w:val="nil"/>
              <w:bottom w:val="single" w:sz="4" w:space="0" w:color="auto"/>
              <w:right w:val="single" w:sz="8" w:space="0" w:color="auto"/>
            </w:tcBorders>
            <w:shd w:val="clear" w:color="auto" w:fill="auto"/>
            <w:noWrap/>
            <w:vAlign w:val="center"/>
            <w:hideMark/>
          </w:tcPr>
          <w:p w14:paraId="4DF1BEE2" w14:textId="495020AD"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29 782 661</w:t>
            </w:r>
          </w:p>
        </w:tc>
      </w:tr>
      <w:tr w:rsidR="00E53FC8" w:rsidRPr="00EB6D39" w14:paraId="1A8AE79A"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58FA31A0"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Špecializovaná ambulantná zdravotná starostlivosť</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14EB486" w14:textId="52D0CC99"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1 416 985 203</w:t>
            </w:r>
          </w:p>
        </w:tc>
        <w:tc>
          <w:tcPr>
            <w:tcW w:w="1418" w:type="dxa"/>
            <w:tcBorders>
              <w:top w:val="nil"/>
              <w:left w:val="nil"/>
              <w:bottom w:val="single" w:sz="4" w:space="0" w:color="auto"/>
              <w:right w:val="single" w:sz="4" w:space="0" w:color="auto"/>
            </w:tcBorders>
            <w:shd w:val="clear" w:color="auto" w:fill="auto"/>
            <w:noWrap/>
            <w:vAlign w:val="center"/>
            <w:hideMark/>
          </w:tcPr>
          <w:p w14:paraId="137033A7" w14:textId="2854CAD9"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891 996 313</w:t>
            </w:r>
          </w:p>
        </w:tc>
        <w:tc>
          <w:tcPr>
            <w:tcW w:w="1417" w:type="dxa"/>
            <w:tcBorders>
              <w:top w:val="nil"/>
              <w:left w:val="nil"/>
              <w:bottom w:val="single" w:sz="4" w:space="0" w:color="auto"/>
              <w:right w:val="single" w:sz="4" w:space="0" w:color="auto"/>
            </w:tcBorders>
            <w:shd w:val="clear" w:color="auto" w:fill="auto"/>
            <w:noWrap/>
            <w:vAlign w:val="center"/>
            <w:hideMark/>
          </w:tcPr>
          <w:p w14:paraId="527A3F45" w14:textId="2B56B131"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448 432 447</w:t>
            </w:r>
          </w:p>
        </w:tc>
        <w:tc>
          <w:tcPr>
            <w:tcW w:w="1418" w:type="dxa"/>
            <w:tcBorders>
              <w:top w:val="nil"/>
              <w:left w:val="nil"/>
              <w:bottom w:val="single" w:sz="4" w:space="0" w:color="auto"/>
              <w:right w:val="single" w:sz="4" w:space="0" w:color="auto"/>
            </w:tcBorders>
            <w:shd w:val="clear" w:color="auto" w:fill="auto"/>
            <w:noWrap/>
            <w:vAlign w:val="center"/>
            <w:hideMark/>
          </w:tcPr>
          <w:p w14:paraId="36DA1D59" w14:textId="03D3358B"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157 088 280</w:t>
            </w:r>
          </w:p>
        </w:tc>
        <w:tc>
          <w:tcPr>
            <w:tcW w:w="1417" w:type="dxa"/>
            <w:tcBorders>
              <w:top w:val="nil"/>
              <w:left w:val="nil"/>
              <w:bottom w:val="single" w:sz="4" w:space="0" w:color="auto"/>
              <w:right w:val="single" w:sz="4" w:space="0" w:color="auto"/>
            </w:tcBorders>
            <w:shd w:val="clear" w:color="auto" w:fill="auto"/>
            <w:noWrap/>
            <w:vAlign w:val="center"/>
            <w:hideMark/>
          </w:tcPr>
          <w:p w14:paraId="68A4ACA8" w14:textId="6B09627F"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1 497 517 041</w:t>
            </w:r>
          </w:p>
        </w:tc>
        <w:tc>
          <w:tcPr>
            <w:tcW w:w="1276" w:type="dxa"/>
            <w:tcBorders>
              <w:top w:val="nil"/>
              <w:left w:val="nil"/>
              <w:bottom w:val="single" w:sz="4" w:space="0" w:color="auto"/>
              <w:right w:val="single" w:sz="4" w:space="0" w:color="auto"/>
            </w:tcBorders>
            <w:shd w:val="clear" w:color="auto" w:fill="auto"/>
            <w:noWrap/>
            <w:vAlign w:val="center"/>
            <w:hideMark/>
          </w:tcPr>
          <w:p w14:paraId="10809442" w14:textId="4AA22C6D"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5,68%</w:t>
            </w:r>
          </w:p>
        </w:tc>
        <w:tc>
          <w:tcPr>
            <w:tcW w:w="1350" w:type="dxa"/>
            <w:tcBorders>
              <w:top w:val="nil"/>
              <w:left w:val="nil"/>
              <w:bottom w:val="single" w:sz="4" w:space="0" w:color="auto"/>
              <w:right w:val="single" w:sz="8" w:space="0" w:color="auto"/>
            </w:tcBorders>
            <w:shd w:val="clear" w:color="auto" w:fill="auto"/>
            <w:noWrap/>
            <w:vAlign w:val="center"/>
            <w:hideMark/>
          </w:tcPr>
          <w:p w14:paraId="2FC458AE" w14:textId="72C14B00"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80 531 838</w:t>
            </w:r>
          </w:p>
        </w:tc>
      </w:tr>
      <w:tr w:rsidR="00E53FC8" w:rsidRPr="00EB6D39" w14:paraId="5B9EA2AC"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5DE3B0FF"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Ambulantná pohotovostná služba</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030A0D5E" w14:textId="204F5B4C"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21 308 441</w:t>
            </w:r>
          </w:p>
        </w:tc>
        <w:tc>
          <w:tcPr>
            <w:tcW w:w="1418" w:type="dxa"/>
            <w:tcBorders>
              <w:top w:val="nil"/>
              <w:left w:val="nil"/>
              <w:bottom w:val="single" w:sz="4" w:space="0" w:color="auto"/>
              <w:right w:val="single" w:sz="4" w:space="0" w:color="auto"/>
            </w:tcBorders>
            <w:shd w:val="clear" w:color="auto" w:fill="auto"/>
            <w:noWrap/>
            <w:vAlign w:val="center"/>
            <w:hideMark/>
          </w:tcPr>
          <w:p w14:paraId="33AF83C0" w14:textId="62474E2D"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11 734 739</w:t>
            </w:r>
          </w:p>
        </w:tc>
        <w:tc>
          <w:tcPr>
            <w:tcW w:w="1417" w:type="dxa"/>
            <w:tcBorders>
              <w:top w:val="nil"/>
              <w:left w:val="nil"/>
              <w:bottom w:val="single" w:sz="4" w:space="0" w:color="auto"/>
              <w:right w:val="single" w:sz="4" w:space="0" w:color="auto"/>
            </w:tcBorders>
            <w:shd w:val="clear" w:color="auto" w:fill="auto"/>
            <w:noWrap/>
            <w:vAlign w:val="center"/>
            <w:hideMark/>
          </w:tcPr>
          <w:p w14:paraId="6F5E23DB" w14:textId="5D2E9842"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7 551 173</w:t>
            </w:r>
          </w:p>
        </w:tc>
        <w:tc>
          <w:tcPr>
            <w:tcW w:w="1418" w:type="dxa"/>
            <w:tcBorders>
              <w:top w:val="nil"/>
              <w:left w:val="nil"/>
              <w:bottom w:val="single" w:sz="4" w:space="0" w:color="auto"/>
              <w:right w:val="single" w:sz="4" w:space="0" w:color="auto"/>
            </w:tcBorders>
            <w:shd w:val="clear" w:color="auto" w:fill="auto"/>
            <w:noWrap/>
            <w:vAlign w:val="center"/>
            <w:hideMark/>
          </w:tcPr>
          <w:p w14:paraId="099287DE" w14:textId="4E54F60A"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2 952 960</w:t>
            </w:r>
          </w:p>
        </w:tc>
        <w:tc>
          <w:tcPr>
            <w:tcW w:w="1417" w:type="dxa"/>
            <w:tcBorders>
              <w:top w:val="nil"/>
              <w:left w:val="nil"/>
              <w:bottom w:val="single" w:sz="4" w:space="0" w:color="auto"/>
              <w:right w:val="single" w:sz="4" w:space="0" w:color="auto"/>
            </w:tcBorders>
            <w:shd w:val="clear" w:color="auto" w:fill="auto"/>
            <w:noWrap/>
            <w:vAlign w:val="center"/>
            <w:hideMark/>
          </w:tcPr>
          <w:p w14:paraId="5572F423" w14:textId="56B019AD"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22 238 873</w:t>
            </w:r>
          </w:p>
        </w:tc>
        <w:tc>
          <w:tcPr>
            <w:tcW w:w="1276" w:type="dxa"/>
            <w:tcBorders>
              <w:top w:val="nil"/>
              <w:left w:val="nil"/>
              <w:bottom w:val="single" w:sz="4" w:space="0" w:color="auto"/>
              <w:right w:val="single" w:sz="4" w:space="0" w:color="auto"/>
            </w:tcBorders>
            <w:shd w:val="clear" w:color="auto" w:fill="auto"/>
            <w:noWrap/>
            <w:vAlign w:val="center"/>
            <w:hideMark/>
          </w:tcPr>
          <w:p w14:paraId="360CCE2A" w14:textId="76B819CF"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4,37%</w:t>
            </w:r>
          </w:p>
        </w:tc>
        <w:tc>
          <w:tcPr>
            <w:tcW w:w="1350" w:type="dxa"/>
            <w:tcBorders>
              <w:top w:val="nil"/>
              <w:left w:val="nil"/>
              <w:bottom w:val="single" w:sz="4" w:space="0" w:color="auto"/>
              <w:right w:val="single" w:sz="8" w:space="0" w:color="auto"/>
            </w:tcBorders>
            <w:shd w:val="clear" w:color="auto" w:fill="auto"/>
            <w:noWrap/>
            <w:vAlign w:val="center"/>
            <w:hideMark/>
          </w:tcPr>
          <w:p w14:paraId="244DE6DE" w14:textId="497A02F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930 432</w:t>
            </w:r>
          </w:p>
        </w:tc>
      </w:tr>
      <w:tr w:rsidR="00E53FC8" w:rsidRPr="00EB6D39" w14:paraId="693B39A5"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6FD37A05"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Záchranná zdravotná služba</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EFD1458" w14:textId="046A68C5"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217 145 442</w:t>
            </w:r>
          </w:p>
        </w:tc>
        <w:tc>
          <w:tcPr>
            <w:tcW w:w="1418" w:type="dxa"/>
            <w:tcBorders>
              <w:top w:val="nil"/>
              <w:left w:val="nil"/>
              <w:bottom w:val="single" w:sz="4" w:space="0" w:color="auto"/>
              <w:right w:val="single" w:sz="4" w:space="0" w:color="auto"/>
            </w:tcBorders>
            <w:shd w:val="clear" w:color="auto" w:fill="auto"/>
            <w:noWrap/>
            <w:vAlign w:val="center"/>
            <w:hideMark/>
          </w:tcPr>
          <w:p w14:paraId="6E0237A0" w14:textId="5B45FF24"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121 199 947</w:t>
            </w:r>
          </w:p>
        </w:tc>
        <w:tc>
          <w:tcPr>
            <w:tcW w:w="1417" w:type="dxa"/>
            <w:tcBorders>
              <w:top w:val="nil"/>
              <w:left w:val="nil"/>
              <w:bottom w:val="single" w:sz="4" w:space="0" w:color="auto"/>
              <w:right w:val="single" w:sz="4" w:space="0" w:color="auto"/>
            </w:tcBorders>
            <w:shd w:val="clear" w:color="auto" w:fill="auto"/>
            <w:noWrap/>
            <w:vAlign w:val="center"/>
            <w:hideMark/>
          </w:tcPr>
          <w:p w14:paraId="661CF626" w14:textId="423383DB"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79 458 892</w:t>
            </w:r>
          </w:p>
        </w:tc>
        <w:tc>
          <w:tcPr>
            <w:tcW w:w="1418" w:type="dxa"/>
            <w:tcBorders>
              <w:top w:val="nil"/>
              <w:left w:val="nil"/>
              <w:bottom w:val="single" w:sz="4" w:space="0" w:color="auto"/>
              <w:right w:val="single" w:sz="4" w:space="0" w:color="auto"/>
            </w:tcBorders>
            <w:shd w:val="clear" w:color="auto" w:fill="auto"/>
            <w:noWrap/>
            <w:vAlign w:val="center"/>
            <w:hideMark/>
          </w:tcPr>
          <w:p w14:paraId="001C07EB" w14:textId="006F1E0B"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27 847 486</w:t>
            </w:r>
          </w:p>
        </w:tc>
        <w:tc>
          <w:tcPr>
            <w:tcW w:w="1417" w:type="dxa"/>
            <w:tcBorders>
              <w:top w:val="nil"/>
              <w:left w:val="nil"/>
              <w:bottom w:val="single" w:sz="4" w:space="0" w:color="auto"/>
              <w:right w:val="single" w:sz="4" w:space="0" w:color="auto"/>
            </w:tcBorders>
            <w:shd w:val="clear" w:color="auto" w:fill="auto"/>
            <w:noWrap/>
            <w:vAlign w:val="center"/>
            <w:hideMark/>
          </w:tcPr>
          <w:p w14:paraId="4E687C5D" w14:textId="5157A8FE"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228 506 325</w:t>
            </w:r>
          </w:p>
        </w:tc>
        <w:tc>
          <w:tcPr>
            <w:tcW w:w="1276" w:type="dxa"/>
            <w:tcBorders>
              <w:top w:val="nil"/>
              <w:left w:val="nil"/>
              <w:bottom w:val="single" w:sz="4" w:space="0" w:color="auto"/>
              <w:right w:val="single" w:sz="4" w:space="0" w:color="auto"/>
            </w:tcBorders>
            <w:shd w:val="clear" w:color="auto" w:fill="auto"/>
            <w:noWrap/>
            <w:vAlign w:val="center"/>
            <w:hideMark/>
          </w:tcPr>
          <w:p w14:paraId="1977EC42" w14:textId="7B43506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5,23%</w:t>
            </w:r>
          </w:p>
        </w:tc>
        <w:tc>
          <w:tcPr>
            <w:tcW w:w="1350" w:type="dxa"/>
            <w:tcBorders>
              <w:top w:val="nil"/>
              <w:left w:val="nil"/>
              <w:bottom w:val="single" w:sz="4" w:space="0" w:color="auto"/>
              <w:right w:val="single" w:sz="8" w:space="0" w:color="auto"/>
            </w:tcBorders>
            <w:shd w:val="clear" w:color="auto" w:fill="auto"/>
            <w:noWrap/>
            <w:vAlign w:val="center"/>
            <w:hideMark/>
          </w:tcPr>
          <w:p w14:paraId="28AF5421" w14:textId="35B4667C"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11 360 883</w:t>
            </w:r>
          </w:p>
        </w:tc>
      </w:tr>
      <w:tr w:rsidR="00E53FC8" w:rsidRPr="00EB6D39" w14:paraId="3A870BBE"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201F6FF8"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Kúpeľná starostlivosť</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71174EB0" w14:textId="11649EB9"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66 562 951</w:t>
            </w:r>
          </w:p>
        </w:tc>
        <w:tc>
          <w:tcPr>
            <w:tcW w:w="1418" w:type="dxa"/>
            <w:tcBorders>
              <w:top w:val="nil"/>
              <w:left w:val="nil"/>
              <w:bottom w:val="single" w:sz="4" w:space="0" w:color="auto"/>
              <w:right w:val="single" w:sz="4" w:space="0" w:color="auto"/>
            </w:tcBorders>
            <w:shd w:val="clear" w:color="auto" w:fill="auto"/>
            <w:noWrap/>
            <w:vAlign w:val="center"/>
            <w:hideMark/>
          </w:tcPr>
          <w:p w14:paraId="2632AEB9" w14:textId="49F4C739"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43 595 419</w:t>
            </w:r>
          </w:p>
        </w:tc>
        <w:tc>
          <w:tcPr>
            <w:tcW w:w="1417" w:type="dxa"/>
            <w:tcBorders>
              <w:top w:val="nil"/>
              <w:left w:val="nil"/>
              <w:bottom w:val="single" w:sz="4" w:space="0" w:color="auto"/>
              <w:right w:val="single" w:sz="4" w:space="0" w:color="auto"/>
            </w:tcBorders>
            <w:shd w:val="clear" w:color="auto" w:fill="auto"/>
            <w:noWrap/>
            <w:vAlign w:val="center"/>
            <w:hideMark/>
          </w:tcPr>
          <w:p w14:paraId="0165C18F" w14:textId="5F6484D5"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20 756 433</w:t>
            </w:r>
          </w:p>
        </w:tc>
        <w:tc>
          <w:tcPr>
            <w:tcW w:w="1418" w:type="dxa"/>
            <w:tcBorders>
              <w:top w:val="nil"/>
              <w:left w:val="nil"/>
              <w:bottom w:val="single" w:sz="4" w:space="0" w:color="auto"/>
              <w:right w:val="single" w:sz="4" w:space="0" w:color="auto"/>
            </w:tcBorders>
            <w:shd w:val="clear" w:color="auto" w:fill="auto"/>
            <w:noWrap/>
            <w:vAlign w:val="center"/>
            <w:hideMark/>
          </w:tcPr>
          <w:p w14:paraId="37BF2FF7" w14:textId="39383106"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4 613 994</w:t>
            </w:r>
          </w:p>
        </w:tc>
        <w:tc>
          <w:tcPr>
            <w:tcW w:w="1417" w:type="dxa"/>
            <w:tcBorders>
              <w:top w:val="nil"/>
              <w:left w:val="nil"/>
              <w:bottom w:val="single" w:sz="4" w:space="0" w:color="auto"/>
              <w:right w:val="single" w:sz="4" w:space="0" w:color="auto"/>
            </w:tcBorders>
            <w:shd w:val="clear" w:color="auto" w:fill="auto"/>
            <w:noWrap/>
            <w:vAlign w:val="center"/>
            <w:hideMark/>
          </w:tcPr>
          <w:p w14:paraId="3C9FE63B" w14:textId="6E5F9273"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68 965 846</w:t>
            </w:r>
          </w:p>
        </w:tc>
        <w:tc>
          <w:tcPr>
            <w:tcW w:w="1276" w:type="dxa"/>
            <w:tcBorders>
              <w:top w:val="nil"/>
              <w:left w:val="nil"/>
              <w:bottom w:val="single" w:sz="4" w:space="0" w:color="auto"/>
              <w:right w:val="single" w:sz="4" w:space="0" w:color="auto"/>
            </w:tcBorders>
            <w:shd w:val="clear" w:color="auto" w:fill="auto"/>
            <w:noWrap/>
            <w:vAlign w:val="center"/>
            <w:hideMark/>
          </w:tcPr>
          <w:p w14:paraId="5D504005" w14:textId="130F160C"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3,61%</w:t>
            </w:r>
          </w:p>
        </w:tc>
        <w:tc>
          <w:tcPr>
            <w:tcW w:w="1350" w:type="dxa"/>
            <w:tcBorders>
              <w:top w:val="nil"/>
              <w:left w:val="nil"/>
              <w:bottom w:val="single" w:sz="4" w:space="0" w:color="auto"/>
              <w:right w:val="single" w:sz="8" w:space="0" w:color="auto"/>
            </w:tcBorders>
            <w:shd w:val="clear" w:color="auto" w:fill="auto"/>
            <w:noWrap/>
            <w:vAlign w:val="center"/>
            <w:hideMark/>
          </w:tcPr>
          <w:p w14:paraId="6AB4F0CE" w14:textId="1A5E6C8C"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2 402 895</w:t>
            </w:r>
          </w:p>
        </w:tc>
      </w:tr>
      <w:tr w:rsidR="00E53FC8" w:rsidRPr="00EB6D39" w14:paraId="76BE180B"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69DA49FE"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Dopravná zdravotná služba</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76558A89" w14:textId="74959093"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44 963 104</w:t>
            </w:r>
          </w:p>
        </w:tc>
        <w:tc>
          <w:tcPr>
            <w:tcW w:w="1418" w:type="dxa"/>
            <w:tcBorders>
              <w:top w:val="nil"/>
              <w:left w:val="nil"/>
              <w:bottom w:val="single" w:sz="4" w:space="0" w:color="auto"/>
              <w:right w:val="single" w:sz="4" w:space="0" w:color="auto"/>
            </w:tcBorders>
            <w:shd w:val="clear" w:color="auto" w:fill="auto"/>
            <w:noWrap/>
            <w:vAlign w:val="center"/>
            <w:hideMark/>
          </w:tcPr>
          <w:p w14:paraId="4AB08DE0" w14:textId="0D10595E"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28 986 528</w:t>
            </w:r>
          </w:p>
        </w:tc>
        <w:tc>
          <w:tcPr>
            <w:tcW w:w="1417" w:type="dxa"/>
            <w:tcBorders>
              <w:top w:val="nil"/>
              <w:left w:val="nil"/>
              <w:bottom w:val="single" w:sz="4" w:space="0" w:color="auto"/>
              <w:right w:val="single" w:sz="4" w:space="0" w:color="auto"/>
            </w:tcBorders>
            <w:shd w:val="clear" w:color="auto" w:fill="auto"/>
            <w:noWrap/>
            <w:vAlign w:val="center"/>
            <w:hideMark/>
          </w:tcPr>
          <w:p w14:paraId="723F97A0" w14:textId="2B1DB0D2"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12 451 911</w:t>
            </w:r>
          </w:p>
        </w:tc>
        <w:tc>
          <w:tcPr>
            <w:tcW w:w="1418" w:type="dxa"/>
            <w:tcBorders>
              <w:top w:val="nil"/>
              <w:left w:val="nil"/>
              <w:bottom w:val="single" w:sz="4" w:space="0" w:color="auto"/>
              <w:right w:val="single" w:sz="4" w:space="0" w:color="auto"/>
            </w:tcBorders>
            <w:shd w:val="clear" w:color="auto" w:fill="auto"/>
            <w:noWrap/>
            <w:vAlign w:val="center"/>
            <w:hideMark/>
          </w:tcPr>
          <w:p w14:paraId="0CA8B962" w14:textId="2143B86F"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4 836 562</w:t>
            </w:r>
          </w:p>
        </w:tc>
        <w:tc>
          <w:tcPr>
            <w:tcW w:w="1417" w:type="dxa"/>
            <w:tcBorders>
              <w:top w:val="nil"/>
              <w:left w:val="nil"/>
              <w:bottom w:val="single" w:sz="4" w:space="0" w:color="auto"/>
              <w:right w:val="single" w:sz="4" w:space="0" w:color="auto"/>
            </w:tcBorders>
            <w:shd w:val="clear" w:color="auto" w:fill="auto"/>
            <w:noWrap/>
            <w:vAlign w:val="center"/>
            <w:hideMark/>
          </w:tcPr>
          <w:p w14:paraId="3FDC9994" w14:textId="35BF7446"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46 275 000</w:t>
            </w:r>
          </w:p>
        </w:tc>
        <w:tc>
          <w:tcPr>
            <w:tcW w:w="1276" w:type="dxa"/>
            <w:tcBorders>
              <w:top w:val="nil"/>
              <w:left w:val="nil"/>
              <w:bottom w:val="single" w:sz="4" w:space="0" w:color="auto"/>
              <w:right w:val="single" w:sz="4" w:space="0" w:color="auto"/>
            </w:tcBorders>
            <w:shd w:val="clear" w:color="auto" w:fill="auto"/>
            <w:noWrap/>
            <w:vAlign w:val="center"/>
            <w:hideMark/>
          </w:tcPr>
          <w:p w14:paraId="0CFC865B" w14:textId="7F584FEB"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2,92%</w:t>
            </w:r>
          </w:p>
        </w:tc>
        <w:tc>
          <w:tcPr>
            <w:tcW w:w="1350" w:type="dxa"/>
            <w:tcBorders>
              <w:top w:val="nil"/>
              <w:left w:val="nil"/>
              <w:bottom w:val="single" w:sz="4" w:space="0" w:color="auto"/>
              <w:right w:val="single" w:sz="8" w:space="0" w:color="auto"/>
            </w:tcBorders>
            <w:shd w:val="clear" w:color="auto" w:fill="auto"/>
            <w:noWrap/>
            <w:vAlign w:val="center"/>
            <w:hideMark/>
          </w:tcPr>
          <w:p w14:paraId="4EBAFE64" w14:textId="43E9F62E"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1 311 896</w:t>
            </w:r>
          </w:p>
        </w:tc>
      </w:tr>
      <w:tr w:rsidR="00E53FC8" w:rsidRPr="00EB6D39" w14:paraId="04B01C9B" w14:textId="77777777" w:rsidTr="00E53FC8">
        <w:trPr>
          <w:trHeight w:val="258"/>
        </w:trPr>
        <w:tc>
          <w:tcPr>
            <w:tcW w:w="4810" w:type="dxa"/>
            <w:tcBorders>
              <w:top w:val="nil"/>
              <w:left w:val="single" w:sz="8" w:space="0" w:color="auto"/>
              <w:bottom w:val="single" w:sz="4" w:space="0" w:color="auto"/>
              <w:right w:val="single" w:sz="4" w:space="0" w:color="auto"/>
            </w:tcBorders>
            <w:shd w:val="clear" w:color="auto" w:fill="auto"/>
            <w:vAlign w:val="bottom"/>
            <w:hideMark/>
          </w:tcPr>
          <w:p w14:paraId="75AD5667"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Vrtuľníková a letecká  záchranná zdravotná služba</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5D8A9BA" w14:textId="77C39407"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21 341 831</w:t>
            </w:r>
          </w:p>
        </w:tc>
        <w:tc>
          <w:tcPr>
            <w:tcW w:w="1418" w:type="dxa"/>
            <w:tcBorders>
              <w:top w:val="nil"/>
              <w:left w:val="nil"/>
              <w:bottom w:val="single" w:sz="4" w:space="0" w:color="auto"/>
              <w:right w:val="single" w:sz="4" w:space="0" w:color="auto"/>
            </w:tcBorders>
            <w:shd w:val="clear" w:color="auto" w:fill="auto"/>
            <w:noWrap/>
            <w:vAlign w:val="center"/>
            <w:hideMark/>
          </w:tcPr>
          <w:p w14:paraId="33F4053C" w14:textId="5DAB4F00"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12 089 757</w:t>
            </w:r>
          </w:p>
        </w:tc>
        <w:tc>
          <w:tcPr>
            <w:tcW w:w="1417" w:type="dxa"/>
            <w:tcBorders>
              <w:top w:val="nil"/>
              <w:left w:val="nil"/>
              <w:bottom w:val="single" w:sz="4" w:space="0" w:color="auto"/>
              <w:right w:val="single" w:sz="4" w:space="0" w:color="auto"/>
            </w:tcBorders>
            <w:shd w:val="clear" w:color="auto" w:fill="auto"/>
            <w:noWrap/>
            <w:vAlign w:val="center"/>
            <w:hideMark/>
          </w:tcPr>
          <w:p w14:paraId="33799F45" w14:textId="4D5200BC"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7 692 151</w:t>
            </w:r>
          </w:p>
        </w:tc>
        <w:tc>
          <w:tcPr>
            <w:tcW w:w="1418" w:type="dxa"/>
            <w:tcBorders>
              <w:top w:val="nil"/>
              <w:left w:val="nil"/>
              <w:bottom w:val="single" w:sz="4" w:space="0" w:color="auto"/>
              <w:right w:val="single" w:sz="4" w:space="0" w:color="auto"/>
            </w:tcBorders>
            <w:shd w:val="clear" w:color="auto" w:fill="auto"/>
            <w:noWrap/>
            <w:vAlign w:val="center"/>
            <w:hideMark/>
          </w:tcPr>
          <w:p w14:paraId="5BDFF70D" w14:textId="4E172BB5"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2 933 792</w:t>
            </w:r>
          </w:p>
        </w:tc>
        <w:tc>
          <w:tcPr>
            <w:tcW w:w="1417" w:type="dxa"/>
            <w:tcBorders>
              <w:top w:val="nil"/>
              <w:left w:val="nil"/>
              <w:bottom w:val="single" w:sz="4" w:space="0" w:color="auto"/>
              <w:right w:val="single" w:sz="4" w:space="0" w:color="auto"/>
            </w:tcBorders>
            <w:shd w:val="clear" w:color="auto" w:fill="auto"/>
            <w:noWrap/>
            <w:vAlign w:val="center"/>
            <w:hideMark/>
          </w:tcPr>
          <w:p w14:paraId="3A159786" w14:textId="67DC6D66"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22 715 701</w:t>
            </w:r>
          </w:p>
        </w:tc>
        <w:tc>
          <w:tcPr>
            <w:tcW w:w="1276" w:type="dxa"/>
            <w:tcBorders>
              <w:top w:val="nil"/>
              <w:left w:val="nil"/>
              <w:bottom w:val="single" w:sz="4" w:space="0" w:color="auto"/>
              <w:right w:val="single" w:sz="4" w:space="0" w:color="auto"/>
            </w:tcBorders>
            <w:shd w:val="clear" w:color="auto" w:fill="auto"/>
            <w:noWrap/>
            <w:vAlign w:val="center"/>
            <w:hideMark/>
          </w:tcPr>
          <w:p w14:paraId="6962B570" w14:textId="3D7F6C0B"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6,44%</w:t>
            </w:r>
          </w:p>
        </w:tc>
        <w:tc>
          <w:tcPr>
            <w:tcW w:w="1350" w:type="dxa"/>
            <w:tcBorders>
              <w:top w:val="nil"/>
              <w:left w:val="nil"/>
              <w:bottom w:val="single" w:sz="4" w:space="0" w:color="auto"/>
              <w:right w:val="single" w:sz="8" w:space="0" w:color="auto"/>
            </w:tcBorders>
            <w:shd w:val="clear" w:color="auto" w:fill="auto"/>
            <w:noWrap/>
            <w:vAlign w:val="center"/>
            <w:hideMark/>
          </w:tcPr>
          <w:p w14:paraId="0AD767A7" w14:textId="06F5E833"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1 373 870</w:t>
            </w:r>
          </w:p>
        </w:tc>
      </w:tr>
      <w:tr w:rsidR="00E53FC8" w:rsidRPr="00EB6D39" w14:paraId="4FFAD070" w14:textId="77777777" w:rsidTr="00E53FC8">
        <w:trPr>
          <w:trHeight w:val="268"/>
        </w:trPr>
        <w:tc>
          <w:tcPr>
            <w:tcW w:w="4810" w:type="dxa"/>
            <w:tcBorders>
              <w:top w:val="nil"/>
              <w:left w:val="single" w:sz="8" w:space="0" w:color="auto"/>
              <w:bottom w:val="single" w:sz="8" w:space="0" w:color="auto"/>
              <w:right w:val="single" w:sz="4" w:space="0" w:color="auto"/>
            </w:tcBorders>
            <w:shd w:val="clear" w:color="auto" w:fill="auto"/>
            <w:vAlign w:val="bottom"/>
            <w:hideMark/>
          </w:tcPr>
          <w:p w14:paraId="73461CDB" w14:textId="77777777" w:rsidR="00E53FC8" w:rsidRPr="00EB6D39"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Iná zdravotná starostlivosť</w:t>
            </w:r>
          </w:p>
        </w:tc>
        <w:tc>
          <w:tcPr>
            <w:tcW w:w="1417" w:type="dxa"/>
            <w:tcBorders>
              <w:top w:val="nil"/>
              <w:left w:val="single" w:sz="4" w:space="0" w:color="auto"/>
              <w:bottom w:val="single" w:sz="8" w:space="0" w:color="auto"/>
              <w:right w:val="single" w:sz="4" w:space="0" w:color="auto"/>
            </w:tcBorders>
            <w:shd w:val="clear" w:color="auto" w:fill="auto"/>
            <w:noWrap/>
            <w:vAlign w:val="center"/>
            <w:hideMark/>
          </w:tcPr>
          <w:p w14:paraId="63CDE063" w14:textId="14BED6CD"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152 742 579</w:t>
            </w:r>
          </w:p>
        </w:tc>
        <w:tc>
          <w:tcPr>
            <w:tcW w:w="1418" w:type="dxa"/>
            <w:tcBorders>
              <w:top w:val="nil"/>
              <w:left w:val="nil"/>
              <w:bottom w:val="single" w:sz="8" w:space="0" w:color="auto"/>
              <w:right w:val="single" w:sz="4" w:space="0" w:color="auto"/>
            </w:tcBorders>
            <w:shd w:val="clear" w:color="auto" w:fill="auto"/>
            <w:noWrap/>
            <w:vAlign w:val="center"/>
            <w:hideMark/>
          </w:tcPr>
          <w:p w14:paraId="6C262648" w14:textId="45DDA7BB"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92 382 976</w:t>
            </w:r>
          </w:p>
        </w:tc>
        <w:tc>
          <w:tcPr>
            <w:tcW w:w="1417" w:type="dxa"/>
            <w:tcBorders>
              <w:top w:val="nil"/>
              <w:left w:val="nil"/>
              <w:bottom w:val="single" w:sz="8" w:space="0" w:color="auto"/>
              <w:right w:val="single" w:sz="4" w:space="0" w:color="auto"/>
            </w:tcBorders>
            <w:shd w:val="clear" w:color="auto" w:fill="auto"/>
            <w:noWrap/>
            <w:vAlign w:val="center"/>
            <w:hideMark/>
          </w:tcPr>
          <w:p w14:paraId="0E977CB7" w14:textId="22AFDCC2"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35 844 204</w:t>
            </w:r>
          </w:p>
        </w:tc>
        <w:tc>
          <w:tcPr>
            <w:tcW w:w="1418" w:type="dxa"/>
            <w:tcBorders>
              <w:top w:val="nil"/>
              <w:left w:val="nil"/>
              <w:bottom w:val="single" w:sz="8" w:space="0" w:color="auto"/>
              <w:right w:val="single" w:sz="4" w:space="0" w:color="auto"/>
            </w:tcBorders>
            <w:shd w:val="clear" w:color="auto" w:fill="auto"/>
            <w:noWrap/>
            <w:vAlign w:val="center"/>
            <w:hideMark/>
          </w:tcPr>
          <w:p w14:paraId="649822F7" w14:textId="65B385ED"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15 095 640</w:t>
            </w:r>
          </w:p>
        </w:tc>
        <w:tc>
          <w:tcPr>
            <w:tcW w:w="1417" w:type="dxa"/>
            <w:tcBorders>
              <w:top w:val="nil"/>
              <w:left w:val="nil"/>
              <w:bottom w:val="single" w:sz="8" w:space="0" w:color="auto"/>
              <w:right w:val="single" w:sz="4" w:space="0" w:color="auto"/>
            </w:tcBorders>
            <w:shd w:val="clear" w:color="auto" w:fill="auto"/>
            <w:noWrap/>
            <w:vAlign w:val="center"/>
            <w:hideMark/>
          </w:tcPr>
          <w:p w14:paraId="3B823732" w14:textId="4B3B9640" w:rsidR="00E53FC8" w:rsidRPr="00E53FC8" w:rsidRDefault="00E53FC8" w:rsidP="00E53FC8">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hAnsi="Times New Roman" w:cs="Times New Roman"/>
                <w:sz w:val="20"/>
                <w:szCs w:val="20"/>
              </w:rPr>
              <w:t>143 322 821</w:t>
            </w:r>
          </w:p>
        </w:tc>
        <w:tc>
          <w:tcPr>
            <w:tcW w:w="1276" w:type="dxa"/>
            <w:tcBorders>
              <w:top w:val="nil"/>
              <w:left w:val="nil"/>
              <w:bottom w:val="single" w:sz="8" w:space="0" w:color="auto"/>
              <w:right w:val="single" w:sz="4" w:space="0" w:color="auto"/>
            </w:tcBorders>
            <w:shd w:val="clear" w:color="auto" w:fill="auto"/>
            <w:noWrap/>
            <w:vAlign w:val="center"/>
            <w:hideMark/>
          </w:tcPr>
          <w:p w14:paraId="0D8C4E5C" w14:textId="41FF85F5"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-6,17%</w:t>
            </w:r>
          </w:p>
        </w:tc>
        <w:tc>
          <w:tcPr>
            <w:tcW w:w="1350" w:type="dxa"/>
            <w:tcBorders>
              <w:top w:val="nil"/>
              <w:left w:val="nil"/>
              <w:bottom w:val="single" w:sz="8" w:space="0" w:color="auto"/>
              <w:right w:val="single" w:sz="8" w:space="0" w:color="auto"/>
            </w:tcBorders>
            <w:shd w:val="clear" w:color="auto" w:fill="auto"/>
            <w:noWrap/>
            <w:vAlign w:val="center"/>
            <w:hideMark/>
          </w:tcPr>
          <w:p w14:paraId="5AA6E70D" w14:textId="084539D1"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hAnsi="Times New Roman" w:cs="Times New Roman"/>
                <w:b/>
                <w:bCs/>
                <w:sz w:val="20"/>
                <w:szCs w:val="20"/>
              </w:rPr>
              <w:t>-9 419 758</w:t>
            </w:r>
          </w:p>
        </w:tc>
      </w:tr>
    </w:tbl>
    <w:p w14:paraId="67A8BDB3" w14:textId="77777777" w:rsidR="005843E1" w:rsidRPr="00EB6D39" w:rsidRDefault="005843E1" w:rsidP="002E5CA3">
      <w:pPr>
        <w:spacing w:after="0" w:line="240" w:lineRule="auto"/>
        <w:jc w:val="both"/>
        <w:rPr>
          <w:rFonts w:ascii="Times New Roman" w:hAnsi="Times New Roman" w:cs="Times New Roman"/>
          <w:sz w:val="24"/>
          <w:szCs w:val="24"/>
        </w:rPr>
      </w:pPr>
    </w:p>
    <w:p w14:paraId="1E74AD55" w14:textId="77777777" w:rsidR="005843E1" w:rsidRPr="00EB6D39" w:rsidRDefault="005843E1" w:rsidP="002E5CA3">
      <w:pPr>
        <w:spacing w:after="0" w:line="240" w:lineRule="auto"/>
        <w:jc w:val="both"/>
        <w:rPr>
          <w:rFonts w:ascii="Times New Roman" w:hAnsi="Times New Roman" w:cs="Times New Roman"/>
          <w:sz w:val="24"/>
          <w:szCs w:val="24"/>
        </w:rPr>
      </w:pPr>
    </w:p>
    <w:p w14:paraId="04D14F61" w14:textId="77777777" w:rsidR="003F6971" w:rsidRDefault="003F6971" w:rsidP="002E5CA3">
      <w:pPr>
        <w:spacing w:after="0" w:line="240" w:lineRule="auto"/>
        <w:jc w:val="both"/>
        <w:rPr>
          <w:rFonts w:ascii="Times New Roman" w:hAnsi="Times New Roman" w:cs="Times New Roman"/>
          <w:sz w:val="24"/>
          <w:szCs w:val="24"/>
        </w:rPr>
        <w:sectPr w:rsidR="003F6971" w:rsidSect="0043689D">
          <w:pgSz w:w="16838" w:h="11906" w:orient="landscape"/>
          <w:pgMar w:top="1417" w:right="1417" w:bottom="1417" w:left="1417" w:header="708" w:footer="708" w:gutter="0"/>
          <w:cols w:space="708"/>
          <w:docGrid w:linePitch="360"/>
        </w:sectPr>
      </w:pPr>
    </w:p>
    <w:p w14:paraId="55287420" w14:textId="534CCE64" w:rsidR="003F6971" w:rsidRPr="00B808B1" w:rsidRDefault="003F6971" w:rsidP="003F6971">
      <w:pPr>
        <w:pStyle w:val="p1"/>
        <w:jc w:val="both"/>
        <w:rPr>
          <w:rFonts w:ascii="Times New Roman" w:eastAsiaTheme="minorEastAsia" w:hAnsi="Times New Roman"/>
          <w:b/>
          <w:bCs/>
          <w:color w:val="auto"/>
          <w:sz w:val="24"/>
          <w:szCs w:val="24"/>
          <w:lang w:eastAsia="en-US"/>
        </w:rPr>
      </w:pPr>
      <w:r w:rsidRPr="00B808B1">
        <w:rPr>
          <w:rFonts w:ascii="Times New Roman" w:eastAsiaTheme="minorEastAsia" w:hAnsi="Times New Roman"/>
          <w:b/>
          <w:bCs/>
          <w:color w:val="auto"/>
          <w:sz w:val="24"/>
          <w:szCs w:val="24"/>
          <w:lang w:eastAsia="en-US"/>
        </w:rPr>
        <w:lastRenderedPageBreak/>
        <w:t>Báza roku 202</w:t>
      </w:r>
      <w:r w:rsidR="00B808B1" w:rsidRPr="00B808B1">
        <w:rPr>
          <w:rFonts w:ascii="Times New Roman" w:eastAsiaTheme="minorEastAsia" w:hAnsi="Times New Roman"/>
          <w:b/>
          <w:bCs/>
          <w:color w:val="auto"/>
          <w:sz w:val="24"/>
          <w:szCs w:val="24"/>
          <w:lang w:eastAsia="en-US"/>
        </w:rPr>
        <w:t>4</w:t>
      </w:r>
    </w:p>
    <w:p w14:paraId="0BFBE1F8" w14:textId="77777777" w:rsidR="003F6971" w:rsidRPr="00B808B1" w:rsidRDefault="003F6971" w:rsidP="003F6971">
      <w:pPr>
        <w:pStyle w:val="p1"/>
        <w:jc w:val="both"/>
        <w:rPr>
          <w:rFonts w:ascii="Times New Roman" w:eastAsiaTheme="minorEastAsia" w:hAnsi="Times New Roman"/>
          <w:b/>
          <w:bCs/>
          <w:color w:val="auto"/>
          <w:sz w:val="24"/>
          <w:szCs w:val="24"/>
          <w:lang w:eastAsia="en-US"/>
        </w:rPr>
      </w:pPr>
    </w:p>
    <w:p w14:paraId="20FCD88E" w14:textId="2ED97D1A" w:rsidR="003F6971" w:rsidRPr="00B808B1" w:rsidRDefault="003F6971" w:rsidP="00B808B1">
      <w:pPr>
        <w:pStyle w:val="p1"/>
        <w:ind w:firstLine="708"/>
        <w:jc w:val="both"/>
        <w:rPr>
          <w:rFonts w:ascii="Times New Roman" w:eastAsiaTheme="minorEastAsia" w:hAnsi="Times New Roman"/>
          <w:color w:val="auto"/>
          <w:sz w:val="24"/>
          <w:szCs w:val="24"/>
          <w:lang w:eastAsia="en-US"/>
        </w:rPr>
      </w:pPr>
      <w:r w:rsidRPr="00B808B1">
        <w:rPr>
          <w:rFonts w:ascii="Times New Roman" w:eastAsiaTheme="minorEastAsia" w:hAnsi="Times New Roman"/>
          <w:color w:val="auto"/>
          <w:sz w:val="24"/>
          <w:szCs w:val="24"/>
          <w:lang w:eastAsia="en-US"/>
        </w:rPr>
        <w:t>Očakávané výdavky aktuálneho roka (Očakávaná skutočnosť 2024</w:t>
      </w:r>
      <w:r w:rsidRPr="00B808B1">
        <w:rPr>
          <w:rFonts w:ascii="Times New Roman" w:hAnsi="Times New Roman"/>
          <w:color w:val="auto"/>
        </w:rPr>
        <w:t xml:space="preserve"> v čase schvaľovania rozpočtu</w:t>
      </w:r>
      <w:r w:rsidRPr="00B808B1">
        <w:rPr>
          <w:rFonts w:ascii="Times New Roman" w:eastAsiaTheme="minorEastAsia" w:hAnsi="Times New Roman"/>
          <w:color w:val="auto"/>
          <w:sz w:val="24"/>
          <w:szCs w:val="24"/>
          <w:lang w:eastAsia="en-US"/>
        </w:rPr>
        <w:t>) po očistení o jednorazové položky tvoria bázu pre rok 2025.</w:t>
      </w:r>
    </w:p>
    <w:p w14:paraId="078821BC" w14:textId="77777777" w:rsidR="00B808B1" w:rsidRPr="00B808B1" w:rsidRDefault="00B808B1" w:rsidP="00B808B1">
      <w:pPr>
        <w:pStyle w:val="p1"/>
        <w:ind w:firstLine="708"/>
        <w:jc w:val="both"/>
        <w:rPr>
          <w:rFonts w:ascii="Times New Roman" w:eastAsiaTheme="minorEastAsia" w:hAnsi="Times New Roman"/>
          <w:color w:val="auto"/>
          <w:sz w:val="24"/>
          <w:szCs w:val="24"/>
          <w:lang w:eastAsia="en-US"/>
        </w:rPr>
      </w:pPr>
    </w:p>
    <w:p w14:paraId="1F0C953B" w14:textId="62270D00" w:rsidR="003F6971" w:rsidRPr="00B808B1" w:rsidRDefault="003F6971" w:rsidP="003F6971">
      <w:pPr>
        <w:pStyle w:val="p1"/>
        <w:jc w:val="both"/>
        <w:rPr>
          <w:rFonts w:ascii="Times New Roman" w:hAnsi="Times New Roman"/>
          <w:b/>
          <w:bCs/>
          <w:color w:val="auto"/>
          <w:sz w:val="22"/>
          <w:szCs w:val="22"/>
        </w:rPr>
      </w:pPr>
      <w:r w:rsidRPr="00B808B1">
        <w:rPr>
          <w:rFonts w:ascii="Times New Roman" w:hAnsi="Times New Roman"/>
          <w:b/>
          <w:bCs/>
          <w:color w:val="auto"/>
          <w:sz w:val="22"/>
          <w:szCs w:val="22"/>
        </w:rPr>
        <w:t xml:space="preserve">Tabuľka 4: </w:t>
      </w:r>
      <w:r w:rsidR="00E53FC8" w:rsidRPr="00B808B1">
        <w:rPr>
          <w:rFonts w:ascii="Times New Roman" w:hAnsi="Times New Roman"/>
          <w:b/>
          <w:bCs/>
          <w:color w:val="auto"/>
          <w:sz w:val="22"/>
          <w:szCs w:val="22"/>
        </w:rPr>
        <w:t>Korekcia báz</w:t>
      </w:r>
      <w:r w:rsidR="00B808B1" w:rsidRPr="00B808B1">
        <w:rPr>
          <w:rFonts w:ascii="Times New Roman" w:hAnsi="Times New Roman"/>
          <w:b/>
          <w:bCs/>
          <w:color w:val="auto"/>
          <w:sz w:val="22"/>
          <w:szCs w:val="22"/>
        </w:rPr>
        <w:t>y</w:t>
      </w:r>
      <w:r w:rsidR="00E53FC8" w:rsidRPr="00B808B1">
        <w:rPr>
          <w:rFonts w:ascii="Times New Roman" w:hAnsi="Times New Roman"/>
          <w:b/>
          <w:bCs/>
          <w:color w:val="auto"/>
          <w:sz w:val="22"/>
          <w:szCs w:val="22"/>
        </w:rPr>
        <w:t xml:space="preserve"> roku 2024</w:t>
      </w:r>
    </w:p>
    <w:tbl>
      <w:tblPr>
        <w:tblW w:w="9483" w:type="dxa"/>
        <w:tblCellMar>
          <w:left w:w="70" w:type="dxa"/>
          <w:right w:w="70" w:type="dxa"/>
        </w:tblCellMar>
        <w:tblLook w:val="04A0" w:firstRow="1" w:lastRow="0" w:firstColumn="1" w:lastColumn="0" w:noHBand="0" w:noVBand="1"/>
      </w:tblPr>
      <w:tblGrid>
        <w:gridCol w:w="4360"/>
        <w:gridCol w:w="2019"/>
        <w:gridCol w:w="1413"/>
        <w:gridCol w:w="1691"/>
      </w:tblGrid>
      <w:tr w:rsidR="00B808B1" w:rsidRPr="00E53FC8" w14:paraId="3E17CA15" w14:textId="77777777" w:rsidTr="00B808B1">
        <w:trPr>
          <w:trHeight w:val="300"/>
        </w:trPr>
        <w:tc>
          <w:tcPr>
            <w:tcW w:w="4360" w:type="dxa"/>
            <w:tcBorders>
              <w:top w:val="nil"/>
              <w:left w:val="nil"/>
              <w:bottom w:val="nil"/>
              <w:right w:val="nil"/>
            </w:tcBorders>
            <w:shd w:val="clear" w:color="auto" w:fill="auto"/>
            <w:noWrap/>
            <w:vAlign w:val="bottom"/>
            <w:hideMark/>
          </w:tcPr>
          <w:p w14:paraId="682E6070" w14:textId="09C3E953"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p>
        </w:tc>
        <w:tc>
          <w:tcPr>
            <w:tcW w:w="2019" w:type="dxa"/>
            <w:tcBorders>
              <w:top w:val="nil"/>
              <w:left w:val="nil"/>
              <w:bottom w:val="nil"/>
              <w:right w:val="nil"/>
            </w:tcBorders>
            <w:shd w:val="clear" w:color="auto" w:fill="auto"/>
            <w:noWrap/>
            <w:vAlign w:val="bottom"/>
            <w:hideMark/>
          </w:tcPr>
          <w:p w14:paraId="5636A9A3"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p>
        </w:tc>
        <w:tc>
          <w:tcPr>
            <w:tcW w:w="1413" w:type="dxa"/>
            <w:tcBorders>
              <w:top w:val="nil"/>
              <w:left w:val="nil"/>
              <w:bottom w:val="nil"/>
              <w:right w:val="nil"/>
            </w:tcBorders>
            <w:shd w:val="clear" w:color="auto" w:fill="auto"/>
            <w:noWrap/>
            <w:vAlign w:val="bottom"/>
            <w:hideMark/>
          </w:tcPr>
          <w:p w14:paraId="0A16C336"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p>
        </w:tc>
        <w:tc>
          <w:tcPr>
            <w:tcW w:w="16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4B9ECC" w14:textId="77777777" w:rsidR="00E53FC8" w:rsidRPr="00E53FC8" w:rsidRDefault="00E53FC8" w:rsidP="00E53FC8">
            <w:pPr>
              <w:spacing w:after="0" w:line="240" w:lineRule="auto"/>
              <w:jc w:val="center"/>
              <w:rPr>
                <w:rFonts w:ascii="Times New Roman" w:eastAsia="Times New Roman" w:hAnsi="Times New Roman" w:cs="Times New Roman"/>
                <w:b/>
                <w:bCs/>
                <w:kern w:val="0"/>
                <w:sz w:val="16"/>
                <w:szCs w:val="16"/>
                <w:lang w:eastAsia="sk-SK"/>
                <w14:ligatures w14:val="none"/>
              </w:rPr>
            </w:pPr>
            <w:r w:rsidRPr="00E53FC8">
              <w:rPr>
                <w:rFonts w:ascii="Times New Roman" w:eastAsia="Times New Roman" w:hAnsi="Times New Roman" w:cs="Times New Roman"/>
                <w:b/>
                <w:bCs/>
                <w:kern w:val="0"/>
                <w:sz w:val="16"/>
                <w:szCs w:val="16"/>
                <w:lang w:eastAsia="sk-SK"/>
                <w14:ligatures w14:val="none"/>
              </w:rPr>
              <w:t>OS2024</w:t>
            </w:r>
          </w:p>
        </w:tc>
      </w:tr>
      <w:tr w:rsidR="00B808B1" w:rsidRPr="00B808B1" w14:paraId="0BD055CC" w14:textId="77777777" w:rsidTr="00B808B1">
        <w:trPr>
          <w:trHeight w:val="510"/>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B05688" w14:textId="77777777" w:rsidR="00E53FC8" w:rsidRPr="00E53FC8" w:rsidRDefault="00E53FC8" w:rsidP="00E53FC8">
            <w:pPr>
              <w:spacing w:after="0" w:line="240" w:lineRule="auto"/>
              <w:rPr>
                <w:rFonts w:ascii="Times New Roman" w:eastAsia="Times New Roman" w:hAnsi="Times New Roman" w:cs="Times New Roman"/>
                <w:b/>
                <w:bCs/>
                <w:kern w:val="0"/>
                <w:sz w:val="16"/>
                <w:szCs w:val="16"/>
                <w:lang w:eastAsia="sk-SK"/>
                <w14:ligatures w14:val="none"/>
              </w:rPr>
            </w:pPr>
            <w:r w:rsidRPr="00E53FC8">
              <w:rPr>
                <w:rFonts w:ascii="Times New Roman" w:eastAsia="Times New Roman" w:hAnsi="Times New Roman" w:cs="Times New Roman"/>
                <w:b/>
                <w:bCs/>
                <w:kern w:val="0"/>
                <w:sz w:val="16"/>
                <w:szCs w:val="16"/>
                <w:lang w:eastAsia="sk-SK"/>
                <w14:ligatures w14:val="none"/>
              </w:rPr>
              <w:t>Typ zdravotnej starostlivosti</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14:paraId="54F45D25" w14:textId="44AE74F4" w:rsidR="00E53FC8" w:rsidRPr="00E53FC8" w:rsidRDefault="00663746" w:rsidP="00E53FC8">
            <w:pPr>
              <w:spacing w:after="0" w:line="240" w:lineRule="auto"/>
              <w:jc w:val="center"/>
              <w:rPr>
                <w:rFonts w:ascii="Times New Roman" w:eastAsia="Times New Roman" w:hAnsi="Times New Roman" w:cs="Times New Roman"/>
                <w:b/>
                <w:bCs/>
                <w:kern w:val="0"/>
                <w:sz w:val="16"/>
                <w:szCs w:val="16"/>
                <w:lang w:eastAsia="sk-SK"/>
                <w14:ligatures w14:val="none"/>
              </w:rPr>
            </w:pPr>
            <w:r w:rsidRPr="00B808B1">
              <w:rPr>
                <w:rFonts w:ascii="Times New Roman" w:eastAsia="Times New Roman" w:hAnsi="Times New Roman" w:cs="Times New Roman"/>
                <w:b/>
                <w:bCs/>
                <w:kern w:val="0"/>
                <w:sz w:val="16"/>
                <w:szCs w:val="16"/>
                <w:lang w:eastAsia="sk-SK"/>
                <w14:ligatures w14:val="none"/>
              </w:rPr>
              <w:t>Výdavky zdravotných poisťovní za rok 2024</w:t>
            </w:r>
          </w:p>
        </w:tc>
        <w:tc>
          <w:tcPr>
            <w:tcW w:w="1413" w:type="dxa"/>
            <w:tcBorders>
              <w:top w:val="single" w:sz="4" w:space="0" w:color="auto"/>
              <w:left w:val="nil"/>
              <w:bottom w:val="single" w:sz="4" w:space="0" w:color="auto"/>
              <w:right w:val="single" w:sz="4" w:space="0" w:color="auto"/>
            </w:tcBorders>
            <w:shd w:val="clear" w:color="auto" w:fill="auto"/>
            <w:vAlign w:val="center"/>
            <w:hideMark/>
          </w:tcPr>
          <w:p w14:paraId="3DA6480E" w14:textId="77777777" w:rsidR="00E53FC8" w:rsidRPr="00E53FC8" w:rsidRDefault="00E53FC8" w:rsidP="00E53FC8">
            <w:pPr>
              <w:spacing w:after="0" w:line="240" w:lineRule="auto"/>
              <w:jc w:val="center"/>
              <w:rPr>
                <w:rFonts w:ascii="Times New Roman" w:eastAsia="Times New Roman" w:hAnsi="Times New Roman" w:cs="Times New Roman"/>
                <w:b/>
                <w:bCs/>
                <w:kern w:val="0"/>
                <w:sz w:val="16"/>
                <w:szCs w:val="16"/>
                <w:lang w:eastAsia="sk-SK"/>
                <w14:ligatures w14:val="none"/>
              </w:rPr>
            </w:pPr>
            <w:r w:rsidRPr="00E53FC8">
              <w:rPr>
                <w:rFonts w:ascii="Times New Roman" w:eastAsia="Times New Roman" w:hAnsi="Times New Roman" w:cs="Times New Roman"/>
                <w:b/>
                <w:bCs/>
                <w:kern w:val="0"/>
                <w:sz w:val="16"/>
                <w:szCs w:val="16"/>
                <w:lang w:eastAsia="sk-SK"/>
                <w14:ligatures w14:val="none"/>
              </w:rPr>
              <w:t>návrh korekcie bázy MZSR</w:t>
            </w:r>
          </w:p>
        </w:tc>
        <w:tc>
          <w:tcPr>
            <w:tcW w:w="1691" w:type="dxa"/>
            <w:tcBorders>
              <w:top w:val="nil"/>
              <w:left w:val="nil"/>
              <w:bottom w:val="single" w:sz="4" w:space="0" w:color="auto"/>
              <w:right w:val="single" w:sz="4" w:space="0" w:color="auto"/>
            </w:tcBorders>
            <w:shd w:val="clear" w:color="auto" w:fill="auto"/>
            <w:vAlign w:val="center"/>
            <w:hideMark/>
          </w:tcPr>
          <w:p w14:paraId="2F272557" w14:textId="77777777" w:rsidR="00E53FC8" w:rsidRPr="00E53FC8" w:rsidRDefault="00E53FC8" w:rsidP="00E53FC8">
            <w:pPr>
              <w:spacing w:after="0" w:line="240" w:lineRule="auto"/>
              <w:jc w:val="center"/>
              <w:rPr>
                <w:rFonts w:ascii="Times New Roman" w:eastAsia="Times New Roman" w:hAnsi="Times New Roman" w:cs="Times New Roman"/>
                <w:b/>
                <w:bCs/>
                <w:kern w:val="0"/>
                <w:sz w:val="16"/>
                <w:szCs w:val="16"/>
                <w:lang w:eastAsia="sk-SK"/>
                <w14:ligatures w14:val="none"/>
              </w:rPr>
            </w:pPr>
            <w:r w:rsidRPr="00E53FC8">
              <w:rPr>
                <w:rFonts w:ascii="Times New Roman" w:eastAsia="Times New Roman" w:hAnsi="Times New Roman" w:cs="Times New Roman"/>
                <w:b/>
                <w:bCs/>
                <w:kern w:val="0"/>
                <w:sz w:val="16"/>
                <w:szCs w:val="16"/>
                <w:lang w:eastAsia="sk-SK"/>
                <w14:ligatures w14:val="none"/>
              </w:rPr>
              <w:t>báza KORIGOVANÁ</w:t>
            </w:r>
          </w:p>
        </w:tc>
      </w:tr>
      <w:tr w:rsidR="00B808B1" w:rsidRPr="00E53FC8" w14:paraId="39EA8EDD"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527828C2"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Lieky a dietetické potraviny</w:t>
            </w:r>
          </w:p>
        </w:tc>
        <w:tc>
          <w:tcPr>
            <w:tcW w:w="2019" w:type="dxa"/>
            <w:tcBorders>
              <w:top w:val="nil"/>
              <w:left w:val="nil"/>
              <w:bottom w:val="single" w:sz="4" w:space="0" w:color="auto"/>
              <w:right w:val="single" w:sz="4" w:space="0" w:color="auto"/>
            </w:tcBorders>
            <w:shd w:val="clear" w:color="auto" w:fill="auto"/>
            <w:noWrap/>
            <w:vAlign w:val="bottom"/>
            <w:hideMark/>
          </w:tcPr>
          <w:p w14:paraId="66C07669"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1 649 713 188 </w:t>
            </w:r>
          </w:p>
        </w:tc>
        <w:tc>
          <w:tcPr>
            <w:tcW w:w="1413" w:type="dxa"/>
            <w:tcBorders>
              <w:top w:val="nil"/>
              <w:left w:val="nil"/>
              <w:bottom w:val="single" w:sz="4" w:space="0" w:color="auto"/>
              <w:right w:val="single" w:sz="4" w:space="0" w:color="auto"/>
            </w:tcBorders>
            <w:shd w:val="clear" w:color="auto" w:fill="auto"/>
            <w:noWrap/>
            <w:vAlign w:val="bottom"/>
            <w:hideMark/>
          </w:tcPr>
          <w:p w14:paraId="008B957B"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05F2426A"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1 649 713 188 </w:t>
            </w:r>
          </w:p>
        </w:tc>
      </w:tr>
      <w:tr w:rsidR="00B808B1" w:rsidRPr="00E53FC8" w14:paraId="2A995473"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767775A7"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Zdravotnícke pomôcky</w:t>
            </w:r>
          </w:p>
        </w:tc>
        <w:tc>
          <w:tcPr>
            <w:tcW w:w="2019" w:type="dxa"/>
            <w:tcBorders>
              <w:top w:val="nil"/>
              <w:left w:val="nil"/>
              <w:bottom w:val="single" w:sz="4" w:space="0" w:color="auto"/>
              <w:right w:val="single" w:sz="4" w:space="0" w:color="auto"/>
            </w:tcBorders>
            <w:shd w:val="clear" w:color="auto" w:fill="auto"/>
            <w:noWrap/>
            <w:vAlign w:val="bottom"/>
            <w:hideMark/>
          </w:tcPr>
          <w:p w14:paraId="5FE97F8D"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285 893 895 </w:t>
            </w:r>
          </w:p>
        </w:tc>
        <w:tc>
          <w:tcPr>
            <w:tcW w:w="1413" w:type="dxa"/>
            <w:tcBorders>
              <w:top w:val="nil"/>
              <w:left w:val="nil"/>
              <w:bottom w:val="single" w:sz="4" w:space="0" w:color="auto"/>
              <w:right w:val="single" w:sz="4" w:space="0" w:color="auto"/>
            </w:tcBorders>
            <w:shd w:val="clear" w:color="auto" w:fill="auto"/>
            <w:noWrap/>
            <w:vAlign w:val="bottom"/>
            <w:hideMark/>
          </w:tcPr>
          <w:p w14:paraId="1BCF360B"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15 600 000 </w:t>
            </w:r>
          </w:p>
        </w:tc>
        <w:tc>
          <w:tcPr>
            <w:tcW w:w="1691" w:type="dxa"/>
            <w:tcBorders>
              <w:top w:val="nil"/>
              <w:left w:val="nil"/>
              <w:bottom w:val="single" w:sz="4" w:space="0" w:color="auto"/>
              <w:right w:val="single" w:sz="4" w:space="0" w:color="auto"/>
            </w:tcBorders>
            <w:shd w:val="clear" w:color="auto" w:fill="auto"/>
            <w:noWrap/>
            <w:vAlign w:val="bottom"/>
            <w:hideMark/>
          </w:tcPr>
          <w:p w14:paraId="7758F419"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301 493 895 </w:t>
            </w:r>
          </w:p>
        </w:tc>
      </w:tr>
      <w:tr w:rsidR="00B808B1" w:rsidRPr="00E53FC8" w14:paraId="7E6D937A"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574992D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Ústavná zdravotná starostlivosť </w:t>
            </w:r>
          </w:p>
        </w:tc>
        <w:tc>
          <w:tcPr>
            <w:tcW w:w="2019" w:type="dxa"/>
            <w:tcBorders>
              <w:top w:val="nil"/>
              <w:left w:val="nil"/>
              <w:bottom w:val="single" w:sz="4" w:space="0" w:color="auto"/>
              <w:right w:val="single" w:sz="4" w:space="0" w:color="auto"/>
            </w:tcBorders>
            <w:shd w:val="clear" w:color="auto" w:fill="auto"/>
            <w:noWrap/>
            <w:vAlign w:val="bottom"/>
            <w:hideMark/>
          </w:tcPr>
          <w:p w14:paraId="3C945FB6"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2 767 126 181 </w:t>
            </w:r>
          </w:p>
        </w:tc>
        <w:tc>
          <w:tcPr>
            <w:tcW w:w="1413" w:type="dxa"/>
            <w:tcBorders>
              <w:top w:val="nil"/>
              <w:left w:val="nil"/>
              <w:bottom w:val="single" w:sz="4" w:space="0" w:color="auto"/>
              <w:right w:val="single" w:sz="4" w:space="0" w:color="auto"/>
            </w:tcBorders>
            <w:shd w:val="clear" w:color="auto" w:fill="auto"/>
            <w:noWrap/>
            <w:vAlign w:val="bottom"/>
            <w:hideMark/>
          </w:tcPr>
          <w:p w14:paraId="232895C5"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6706796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2 767 126 181 </w:t>
            </w:r>
          </w:p>
        </w:tc>
      </w:tr>
      <w:tr w:rsidR="00B808B1" w:rsidRPr="00E53FC8" w14:paraId="634E03DA"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4CBFAEB3"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Mimoriadna úhrada ÚZZ</w:t>
            </w:r>
          </w:p>
        </w:tc>
        <w:tc>
          <w:tcPr>
            <w:tcW w:w="2019" w:type="dxa"/>
            <w:tcBorders>
              <w:top w:val="nil"/>
              <w:left w:val="nil"/>
              <w:bottom w:val="single" w:sz="4" w:space="0" w:color="auto"/>
              <w:right w:val="single" w:sz="4" w:space="0" w:color="auto"/>
            </w:tcBorders>
            <w:shd w:val="clear" w:color="auto" w:fill="auto"/>
            <w:noWrap/>
            <w:vAlign w:val="bottom"/>
            <w:hideMark/>
          </w:tcPr>
          <w:p w14:paraId="709DDAC5"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191 000 000 </w:t>
            </w:r>
          </w:p>
        </w:tc>
        <w:tc>
          <w:tcPr>
            <w:tcW w:w="1413" w:type="dxa"/>
            <w:tcBorders>
              <w:top w:val="nil"/>
              <w:left w:val="nil"/>
              <w:bottom w:val="single" w:sz="4" w:space="0" w:color="auto"/>
              <w:right w:val="single" w:sz="4" w:space="0" w:color="auto"/>
            </w:tcBorders>
            <w:shd w:val="clear" w:color="auto" w:fill="auto"/>
            <w:noWrap/>
            <w:vAlign w:val="bottom"/>
            <w:hideMark/>
          </w:tcPr>
          <w:p w14:paraId="72DEBE49"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6636E722"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191 000 000 </w:t>
            </w:r>
          </w:p>
        </w:tc>
      </w:tr>
      <w:tr w:rsidR="00B808B1" w:rsidRPr="00E53FC8" w14:paraId="314E9318"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42F6AFBE"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Všeobecná ambulantná zdravotná starostlivosť</w:t>
            </w:r>
          </w:p>
        </w:tc>
        <w:tc>
          <w:tcPr>
            <w:tcW w:w="2019" w:type="dxa"/>
            <w:tcBorders>
              <w:top w:val="nil"/>
              <w:left w:val="nil"/>
              <w:bottom w:val="single" w:sz="4" w:space="0" w:color="auto"/>
              <w:right w:val="single" w:sz="4" w:space="0" w:color="auto"/>
            </w:tcBorders>
            <w:shd w:val="clear" w:color="auto" w:fill="auto"/>
            <w:noWrap/>
            <w:vAlign w:val="bottom"/>
            <w:hideMark/>
          </w:tcPr>
          <w:p w14:paraId="0CC0D4E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473 912 636 </w:t>
            </w:r>
          </w:p>
        </w:tc>
        <w:tc>
          <w:tcPr>
            <w:tcW w:w="1413" w:type="dxa"/>
            <w:tcBorders>
              <w:top w:val="nil"/>
              <w:left w:val="nil"/>
              <w:bottom w:val="single" w:sz="4" w:space="0" w:color="auto"/>
              <w:right w:val="single" w:sz="4" w:space="0" w:color="auto"/>
            </w:tcBorders>
            <w:shd w:val="clear" w:color="auto" w:fill="auto"/>
            <w:noWrap/>
            <w:vAlign w:val="bottom"/>
            <w:hideMark/>
          </w:tcPr>
          <w:p w14:paraId="5CB57E2F"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2 000 000 </w:t>
            </w:r>
          </w:p>
        </w:tc>
        <w:tc>
          <w:tcPr>
            <w:tcW w:w="1691" w:type="dxa"/>
            <w:tcBorders>
              <w:top w:val="nil"/>
              <w:left w:val="nil"/>
              <w:bottom w:val="single" w:sz="4" w:space="0" w:color="auto"/>
              <w:right w:val="single" w:sz="4" w:space="0" w:color="auto"/>
            </w:tcBorders>
            <w:shd w:val="clear" w:color="auto" w:fill="auto"/>
            <w:noWrap/>
            <w:vAlign w:val="bottom"/>
            <w:hideMark/>
          </w:tcPr>
          <w:p w14:paraId="39B6B51B"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471 912 636 </w:t>
            </w:r>
          </w:p>
        </w:tc>
      </w:tr>
      <w:tr w:rsidR="00B808B1" w:rsidRPr="00E53FC8" w14:paraId="601FEE1A"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2E6DC1BB"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Spoločné vyšetrovacie a liečebné zložky</w:t>
            </w:r>
          </w:p>
        </w:tc>
        <w:tc>
          <w:tcPr>
            <w:tcW w:w="2019" w:type="dxa"/>
            <w:tcBorders>
              <w:top w:val="nil"/>
              <w:left w:val="nil"/>
              <w:bottom w:val="single" w:sz="4" w:space="0" w:color="auto"/>
              <w:right w:val="single" w:sz="4" w:space="0" w:color="auto"/>
            </w:tcBorders>
            <w:shd w:val="clear" w:color="auto" w:fill="auto"/>
            <w:noWrap/>
            <w:vAlign w:val="bottom"/>
            <w:hideMark/>
          </w:tcPr>
          <w:p w14:paraId="43ADFDB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580 717 913 </w:t>
            </w:r>
          </w:p>
        </w:tc>
        <w:tc>
          <w:tcPr>
            <w:tcW w:w="1413" w:type="dxa"/>
            <w:tcBorders>
              <w:top w:val="nil"/>
              <w:left w:val="nil"/>
              <w:bottom w:val="single" w:sz="4" w:space="0" w:color="auto"/>
              <w:right w:val="single" w:sz="4" w:space="0" w:color="auto"/>
            </w:tcBorders>
            <w:shd w:val="clear" w:color="auto" w:fill="auto"/>
            <w:noWrap/>
            <w:vAlign w:val="bottom"/>
            <w:hideMark/>
          </w:tcPr>
          <w:p w14:paraId="04EC67ED"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6 300 000 </w:t>
            </w:r>
          </w:p>
        </w:tc>
        <w:tc>
          <w:tcPr>
            <w:tcW w:w="1691" w:type="dxa"/>
            <w:tcBorders>
              <w:top w:val="nil"/>
              <w:left w:val="nil"/>
              <w:bottom w:val="single" w:sz="4" w:space="0" w:color="auto"/>
              <w:right w:val="single" w:sz="4" w:space="0" w:color="auto"/>
            </w:tcBorders>
            <w:shd w:val="clear" w:color="auto" w:fill="auto"/>
            <w:noWrap/>
            <w:vAlign w:val="bottom"/>
            <w:hideMark/>
          </w:tcPr>
          <w:p w14:paraId="7C5B92E9"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574 417 913 </w:t>
            </w:r>
          </w:p>
        </w:tc>
      </w:tr>
      <w:tr w:rsidR="00B808B1" w:rsidRPr="00E53FC8" w14:paraId="69EC4FD6"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43FE4638"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Špecializovaná ambulantná zdravotná starostlivosť</w:t>
            </w:r>
          </w:p>
        </w:tc>
        <w:tc>
          <w:tcPr>
            <w:tcW w:w="2019" w:type="dxa"/>
            <w:tcBorders>
              <w:top w:val="nil"/>
              <w:left w:val="nil"/>
              <w:bottom w:val="single" w:sz="4" w:space="0" w:color="auto"/>
              <w:right w:val="single" w:sz="4" w:space="0" w:color="auto"/>
            </w:tcBorders>
            <w:shd w:val="clear" w:color="auto" w:fill="auto"/>
            <w:noWrap/>
            <w:vAlign w:val="bottom"/>
            <w:hideMark/>
          </w:tcPr>
          <w:p w14:paraId="0CD8A5F8"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1 433 485 203 </w:t>
            </w:r>
          </w:p>
        </w:tc>
        <w:tc>
          <w:tcPr>
            <w:tcW w:w="1413" w:type="dxa"/>
            <w:tcBorders>
              <w:top w:val="nil"/>
              <w:left w:val="nil"/>
              <w:bottom w:val="single" w:sz="4" w:space="0" w:color="auto"/>
              <w:right w:val="single" w:sz="4" w:space="0" w:color="auto"/>
            </w:tcBorders>
            <w:shd w:val="clear" w:color="auto" w:fill="auto"/>
            <w:noWrap/>
            <w:vAlign w:val="bottom"/>
            <w:hideMark/>
          </w:tcPr>
          <w:p w14:paraId="6E63C37A"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16 500 000 </w:t>
            </w:r>
          </w:p>
        </w:tc>
        <w:tc>
          <w:tcPr>
            <w:tcW w:w="1691" w:type="dxa"/>
            <w:tcBorders>
              <w:top w:val="nil"/>
              <w:left w:val="nil"/>
              <w:bottom w:val="single" w:sz="4" w:space="0" w:color="auto"/>
              <w:right w:val="single" w:sz="4" w:space="0" w:color="auto"/>
            </w:tcBorders>
            <w:shd w:val="clear" w:color="auto" w:fill="auto"/>
            <w:noWrap/>
            <w:vAlign w:val="bottom"/>
            <w:hideMark/>
          </w:tcPr>
          <w:p w14:paraId="044F1BDB"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1 416 985 203 </w:t>
            </w:r>
          </w:p>
        </w:tc>
      </w:tr>
      <w:tr w:rsidR="00B808B1" w:rsidRPr="00E53FC8" w14:paraId="0B9BBA95"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29BFB62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Ambulantná pohotovostná služba</w:t>
            </w:r>
          </w:p>
        </w:tc>
        <w:tc>
          <w:tcPr>
            <w:tcW w:w="2019" w:type="dxa"/>
            <w:tcBorders>
              <w:top w:val="nil"/>
              <w:left w:val="nil"/>
              <w:bottom w:val="single" w:sz="4" w:space="0" w:color="auto"/>
              <w:right w:val="single" w:sz="4" w:space="0" w:color="auto"/>
            </w:tcBorders>
            <w:shd w:val="clear" w:color="auto" w:fill="auto"/>
            <w:noWrap/>
            <w:vAlign w:val="bottom"/>
            <w:hideMark/>
          </w:tcPr>
          <w:p w14:paraId="3ABD0310"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21 308 441 </w:t>
            </w:r>
          </w:p>
        </w:tc>
        <w:tc>
          <w:tcPr>
            <w:tcW w:w="1413" w:type="dxa"/>
            <w:tcBorders>
              <w:top w:val="nil"/>
              <w:left w:val="nil"/>
              <w:bottom w:val="single" w:sz="4" w:space="0" w:color="auto"/>
              <w:right w:val="single" w:sz="4" w:space="0" w:color="auto"/>
            </w:tcBorders>
            <w:shd w:val="clear" w:color="auto" w:fill="auto"/>
            <w:noWrap/>
            <w:vAlign w:val="bottom"/>
            <w:hideMark/>
          </w:tcPr>
          <w:p w14:paraId="002B5C6D"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1A856C62"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21 308 441 </w:t>
            </w:r>
          </w:p>
        </w:tc>
      </w:tr>
      <w:tr w:rsidR="00B808B1" w:rsidRPr="00E53FC8" w14:paraId="35FDC0AA"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705192D7"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Záchranná zdravotná služba</w:t>
            </w:r>
          </w:p>
        </w:tc>
        <w:tc>
          <w:tcPr>
            <w:tcW w:w="2019" w:type="dxa"/>
            <w:tcBorders>
              <w:top w:val="nil"/>
              <w:left w:val="nil"/>
              <w:bottom w:val="single" w:sz="4" w:space="0" w:color="auto"/>
              <w:right w:val="single" w:sz="4" w:space="0" w:color="auto"/>
            </w:tcBorders>
            <w:shd w:val="clear" w:color="auto" w:fill="auto"/>
            <w:noWrap/>
            <w:vAlign w:val="bottom"/>
            <w:hideMark/>
          </w:tcPr>
          <w:p w14:paraId="047B34A8"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217 145 442 </w:t>
            </w:r>
          </w:p>
        </w:tc>
        <w:tc>
          <w:tcPr>
            <w:tcW w:w="1413" w:type="dxa"/>
            <w:tcBorders>
              <w:top w:val="nil"/>
              <w:left w:val="nil"/>
              <w:bottom w:val="single" w:sz="4" w:space="0" w:color="auto"/>
              <w:right w:val="single" w:sz="4" w:space="0" w:color="auto"/>
            </w:tcBorders>
            <w:shd w:val="clear" w:color="auto" w:fill="auto"/>
            <w:noWrap/>
            <w:vAlign w:val="bottom"/>
            <w:hideMark/>
          </w:tcPr>
          <w:p w14:paraId="059FC1F7"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5CE0C54B"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217 145 442 </w:t>
            </w:r>
          </w:p>
        </w:tc>
      </w:tr>
      <w:tr w:rsidR="00B808B1" w:rsidRPr="00E53FC8" w14:paraId="389A72AF"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62D4FB3E"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Kúpeľná starostlivosť</w:t>
            </w:r>
          </w:p>
        </w:tc>
        <w:tc>
          <w:tcPr>
            <w:tcW w:w="2019" w:type="dxa"/>
            <w:tcBorders>
              <w:top w:val="nil"/>
              <w:left w:val="nil"/>
              <w:bottom w:val="single" w:sz="4" w:space="0" w:color="auto"/>
              <w:right w:val="single" w:sz="4" w:space="0" w:color="auto"/>
            </w:tcBorders>
            <w:shd w:val="clear" w:color="auto" w:fill="auto"/>
            <w:noWrap/>
            <w:vAlign w:val="bottom"/>
            <w:hideMark/>
          </w:tcPr>
          <w:p w14:paraId="1FB77049"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66 562 951 </w:t>
            </w:r>
          </w:p>
        </w:tc>
        <w:tc>
          <w:tcPr>
            <w:tcW w:w="1413" w:type="dxa"/>
            <w:tcBorders>
              <w:top w:val="nil"/>
              <w:left w:val="nil"/>
              <w:bottom w:val="single" w:sz="4" w:space="0" w:color="auto"/>
              <w:right w:val="single" w:sz="4" w:space="0" w:color="auto"/>
            </w:tcBorders>
            <w:shd w:val="clear" w:color="auto" w:fill="auto"/>
            <w:noWrap/>
            <w:vAlign w:val="bottom"/>
            <w:hideMark/>
          </w:tcPr>
          <w:p w14:paraId="5B5B7689"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5EDF53B0"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66 562 951 </w:t>
            </w:r>
          </w:p>
        </w:tc>
      </w:tr>
      <w:tr w:rsidR="00B808B1" w:rsidRPr="00E53FC8" w14:paraId="091427E1"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182E850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Dopravná zdravotná služba</w:t>
            </w:r>
          </w:p>
        </w:tc>
        <w:tc>
          <w:tcPr>
            <w:tcW w:w="2019" w:type="dxa"/>
            <w:tcBorders>
              <w:top w:val="nil"/>
              <w:left w:val="nil"/>
              <w:bottom w:val="single" w:sz="4" w:space="0" w:color="auto"/>
              <w:right w:val="single" w:sz="4" w:space="0" w:color="auto"/>
            </w:tcBorders>
            <w:shd w:val="clear" w:color="auto" w:fill="auto"/>
            <w:noWrap/>
            <w:vAlign w:val="bottom"/>
            <w:hideMark/>
          </w:tcPr>
          <w:p w14:paraId="4BB34FFD"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44 963 104 </w:t>
            </w:r>
          </w:p>
        </w:tc>
        <w:tc>
          <w:tcPr>
            <w:tcW w:w="1413" w:type="dxa"/>
            <w:tcBorders>
              <w:top w:val="nil"/>
              <w:left w:val="nil"/>
              <w:bottom w:val="single" w:sz="4" w:space="0" w:color="auto"/>
              <w:right w:val="single" w:sz="4" w:space="0" w:color="auto"/>
            </w:tcBorders>
            <w:shd w:val="clear" w:color="auto" w:fill="auto"/>
            <w:noWrap/>
            <w:vAlign w:val="bottom"/>
            <w:hideMark/>
          </w:tcPr>
          <w:p w14:paraId="391077F3"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47D6735A"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44 963 104 </w:t>
            </w:r>
          </w:p>
        </w:tc>
      </w:tr>
      <w:tr w:rsidR="00B808B1" w:rsidRPr="00E53FC8" w14:paraId="6DEFB9AA"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654A9098"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Vrtuľníková a letecká  záchranná zdravotná služba</w:t>
            </w:r>
          </w:p>
        </w:tc>
        <w:tc>
          <w:tcPr>
            <w:tcW w:w="2019" w:type="dxa"/>
            <w:tcBorders>
              <w:top w:val="nil"/>
              <w:left w:val="nil"/>
              <w:bottom w:val="single" w:sz="4" w:space="0" w:color="auto"/>
              <w:right w:val="single" w:sz="4" w:space="0" w:color="auto"/>
            </w:tcBorders>
            <w:shd w:val="clear" w:color="auto" w:fill="auto"/>
            <w:noWrap/>
            <w:vAlign w:val="bottom"/>
            <w:hideMark/>
          </w:tcPr>
          <w:p w14:paraId="7899F759"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21 341 831 </w:t>
            </w:r>
          </w:p>
        </w:tc>
        <w:tc>
          <w:tcPr>
            <w:tcW w:w="1413" w:type="dxa"/>
            <w:tcBorders>
              <w:top w:val="nil"/>
              <w:left w:val="nil"/>
              <w:bottom w:val="single" w:sz="4" w:space="0" w:color="auto"/>
              <w:right w:val="single" w:sz="4" w:space="0" w:color="auto"/>
            </w:tcBorders>
            <w:shd w:val="clear" w:color="auto" w:fill="auto"/>
            <w:noWrap/>
            <w:vAlign w:val="bottom"/>
            <w:hideMark/>
          </w:tcPr>
          <w:p w14:paraId="45B31342"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w:t>
            </w:r>
          </w:p>
        </w:tc>
        <w:tc>
          <w:tcPr>
            <w:tcW w:w="1691" w:type="dxa"/>
            <w:tcBorders>
              <w:top w:val="nil"/>
              <w:left w:val="nil"/>
              <w:bottom w:val="single" w:sz="4" w:space="0" w:color="auto"/>
              <w:right w:val="single" w:sz="4" w:space="0" w:color="auto"/>
            </w:tcBorders>
            <w:shd w:val="clear" w:color="auto" w:fill="auto"/>
            <w:noWrap/>
            <w:vAlign w:val="bottom"/>
            <w:hideMark/>
          </w:tcPr>
          <w:p w14:paraId="01F6A39F"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21 341 831 </w:t>
            </w:r>
          </w:p>
        </w:tc>
      </w:tr>
      <w:tr w:rsidR="00B808B1" w:rsidRPr="00E53FC8" w14:paraId="32A02AD2"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20B2A3BA"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Iná zdravotná starostlivosť</w:t>
            </w:r>
          </w:p>
        </w:tc>
        <w:tc>
          <w:tcPr>
            <w:tcW w:w="2019" w:type="dxa"/>
            <w:tcBorders>
              <w:top w:val="nil"/>
              <w:left w:val="nil"/>
              <w:bottom w:val="single" w:sz="4" w:space="0" w:color="auto"/>
              <w:right w:val="single" w:sz="4" w:space="0" w:color="auto"/>
            </w:tcBorders>
            <w:shd w:val="clear" w:color="auto" w:fill="auto"/>
            <w:noWrap/>
            <w:vAlign w:val="bottom"/>
            <w:hideMark/>
          </w:tcPr>
          <w:p w14:paraId="003FCF72"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154 542 579 </w:t>
            </w:r>
          </w:p>
        </w:tc>
        <w:tc>
          <w:tcPr>
            <w:tcW w:w="1413" w:type="dxa"/>
            <w:tcBorders>
              <w:top w:val="nil"/>
              <w:left w:val="nil"/>
              <w:bottom w:val="single" w:sz="4" w:space="0" w:color="auto"/>
              <w:right w:val="single" w:sz="4" w:space="0" w:color="auto"/>
            </w:tcBorders>
            <w:shd w:val="clear" w:color="auto" w:fill="auto"/>
            <w:noWrap/>
            <w:vAlign w:val="bottom"/>
            <w:hideMark/>
          </w:tcPr>
          <w:p w14:paraId="2B05F6B9" w14:textId="77777777" w:rsidR="00E53FC8" w:rsidRPr="00E53FC8" w:rsidRDefault="00E53FC8" w:rsidP="00B808B1">
            <w:pPr>
              <w:spacing w:after="0" w:line="240" w:lineRule="auto"/>
              <w:jc w:val="right"/>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1 800 000 </w:t>
            </w:r>
          </w:p>
        </w:tc>
        <w:tc>
          <w:tcPr>
            <w:tcW w:w="1691" w:type="dxa"/>
            <w:tcBorders>
              <w:top w:val="nil"/>
              <w:left w:val="nil"/>
              <w:bottom w:val="single" w:sz="4" w:space="0" w:color="auto"/>
              <w:right w:val="single" w:sz="4" w:space="0" w:color="auto"/>
            </w:tcBorders>
            <w:shd w:val="clear" w:color="auto" w:fill="auto"/>
            <w:noWrap/>
            <w:vAlign w:val="bottom"/>
            <w:hideMark/>
          </w:tcPr>
          <w:p w14:paraId="1ED6D46D" w14:textId="77777777" w:rsidR="00E53FC8" w:rsidRPr="00E53FC8" w:rsidRDefault="00E53FC8" w:rsidP="00E53FC8">
            <w:pPr>
              <w:spacing w:after="0" w:line="240" w:lineRule="auto"/>
              <w:rPr>
                <w:rFonts w:ascii="Times New Roman" w:eastAsia="Times New Roman" w:hAnsi="Times New Roman" w:cs="Times New Roman"/>
                <w:kern w:val="0"/>
                <w:sz w:val="20"/>
                <w:szCs w:val="20"/>
                <w:lang w:eastAsia="sk-SK"/>
                <w14:ligatures w14:val="none"/>
              </w:rPr>
            </w:pPr>
            <w:r w:rsidRPr="00E53FC8">
              <w:rPr>
                <w:rFonts w:ascii="Times New Roman" w:eastAsia="Times New Roman" w:hAnsi="Times New Roman" w:cs="Times New Roman"/>
                <w:kern w:val="0"/>
                <w:sz w:val="20"/>
                <w:szCs w:val="20"/>
                <w:lang w:eastAsia="sk-SK"/>
                <w14:ligatures w14:val="none"/>
              </w:rPr>
              <w:t xml:space="preserve">       152 742 579 </w:t>
            </w:r>
          </w:p>
        </w:tc>
      </w:tr>
      <w:tr w:rsidR="00B808B1" w:rsidRPr="00E53FC8" w14:paraId="41A1C574" w14:textId="77777777" w:rsidTr="00B808B1">
        <w:trPr>
          <w:trHeight w:val="300"/>
        </w:trPr>
        <w:tc>
          <w:tcPr>
            <w:tcW w:w="4360" w:type="dxa"/>
            <w:tcBorders>
              <w:top w:val="nil"/>
              <w:left w:val="single" w:sz="4" w:space="0" w:color="auto"/>
              <w:bottom w:val="single" w:sz="4" w:space="0" w:color="auto"/>
              <w:right w:val="single" w:sz="4" w:space="0" w:color="auto"/>
            </w:tcBorders>
            <w:shd w:val="clear" w:color="auto" w:fill="auto"/>
            <w:vAlign w:val="bottom"/>
            <w:hideMark/>
          </w:tcPr>
          <w:p w14:paraId="4597903B" w14:textId="77777777" w:rsidR="00E53FC8" w:rsidRPr="00E53FC8" w:rsidRDefault="00E53FC8" w:rsidP="00E53FC8">
            <w:pPr>
              <w:spacing w:after="0" w:line="240" w:lineRule="auto"/>
              <w:rPr>
                <w:rFonts w:ascii="Times New Roman" w:eastAsia="Times New Roman" w:hAnsi="Times New Roman" w:cs="Times New Roman"/>
                <w:b/>
                <w:bCs/>
                <w:kern w:val="0"/>
                <w:sz w:val="20"/>
                <w:szCs w:val="20"/>
                <w:lang w:eastAsia="sk-SK"/>
                <w14:ligatures w14:val="none"/>
              </w:rPr>
            </w:pPr>
            <w:r w:rsidRPr="00E53FC8">
              <w:rPr>
                <w:rFonts w:ascii="Times New Roman" w:eastAsia="Times New Roman" w:hAnsi="Times New Roman" w:cs="Times New Roman"/>
                <w:b/>
                <w:bCs/>
                <w:kern w:val="0"/>
                <w:sz w:val="20"/>
                <w:szCs w:val="20"/>
                <w:lang w:eastAsia="sk-SK"/>
                <w14:ligatures w14:val="none"/>
              </w:rPr>
              <w:t>Celkom</w:t>
            </w:r>
          </w:p>
        </w:tc>
        <w:tc>
          <w:tcPr>
            <w:tcW w:w="2019" w:type="dxa"/>
            <w:tcBorders>
              <w:top w:val="nil"/>
              <w:left w:val="nil"/>
              <w:bottom w:val="single" w:sz="4" w:space="0" w:color="auto"/>
              <w:right w:val="single" w:sz="4" w:space="0" w:color="auto"/>
            </w:tcBorders>
            <w:shd w:val="clear" w:color="auto" w:fill="auto"/>
            <w:vAlign w:val="bottom"/>
            <w:hideMark/>
          </w:tcPr>
          <w:p w14:paraId="62850E62" w14:textId="77777777" w:rsidR="00E53FC8" w:rsidRPr="00E53FC8" w:rsidRDefault="00E53FC8" w:rsidP="00E53FC8">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eastAsia="Times New Roman" w:hAnsi="Times New Roman" w:cs="Times New Roman"/>
                <w:b/>
                <w:bCs/>
                <w:kern w:val="0"/>
                <w:sz w:val="20"/>
                <w:szCs w:val="20"/>
                <w:lang w:eastAsia="sk-SK"/>
                <w14:ligatures w14:val="none"/>
              </w:rPr>
              <w:t>7 907 713 364</w:t>
            </w:r>
          </w:p>
        </w:tc>
        <w:tc>
          <w:tcPr>
            <w:tcW w:w="1413" w:type="dxa"/>
            <w:tcBorders>
              <w:top w:val="nil"/>
              <w:left w:val="nil"/>
              <w:bottom w:val="single" w:sz="4" w:space="0" w:color="auto"/>
              <w:right w:val="single" w:sz="4" w:space="0" w:color="auto"/>
            </w:tcBorders>
            <w:shd w:val="clear" w:color="auto" w:fill="auto"/>
            <w:vAlign w:val="bottom"/>
            <w:hideMark/>
          </w:tcPr>
          <w:p w14:paraId="2585B579" w14:textId="77777777" w:rsidR="00E53FC8" w:rsidRPr="00E53FC8" w:rsidRDefault="00E53FC8" w:rsidP="00B808B1">
            <w:pPr>
              <w:spacing w:after="0" w:line="240" w:lineRule="auto"/>
              <w:jc w:val="right"/>
              <w:rPr>
                <w:rFonts w:ascii="Times New Roman" w:eastAsia="Times New Roman" w:hAnsi="Times New Roman" w:cs="Times New Roman"/>
                <w:b/>
                <w:bCs/>
                <w:kern w:val="0"/>
                <w:sz w:val="20"/>
                <w:szCs w:val="20"/>
                <w:lang w:eastAsia="sk-SK"/>
                <w14:ligatures w14:val="none"/>
              </w:rPr>
            </w:pPr>
            <w:r w:rsidRPr="00E53FC8">
              <w:rPr>
                <w:rFonts w:ascii="Times New Roman" w:eastAsia="Times New Roman" w:hAnsi="Times New Roman" w:cs="Times New Roman"/>
                <w:b/>
                <w:bCs/>
                <w:kern w:val="0"/>
                <w:sz w:val="20"/>
                <w:szCs w:val="20"/>
                <w:lang w:eastAsia="sk-SK"/>
                <w14:ligatures w14:val="none"/>
              </w:rPr>
              <w:t>-11 000 000</w:t>
            </w:r>
          </w:p>
        </w:tc>
        <w:tc>
          <w:tcPr>
            <w:tcW w:w="1691" w:type="dxa"/>
            <w:tcBorders>
              <w:top w:val="nil"/>
              <w:left w:val="nil"/>
              <w:bottom w:val="single" w:sz="4" w:space="0" w:color="auto"/>
              <w:right w:val="single" w:sz="4" w:space="0" w:color="auto"/>
            </w:tcBorders>
            <w:shd w:val="clear" w:color="auto" w:fill="auto"/>
            <w:noWrap/>
            <w:vAlign w:val="bottom"/>
            <w:hideMark/>
          </w:tcPr>
          <w:p w14:paraId="158F9DB4" w14:textId="77777777" w:rsidR="00E53FC8" w:rsidRPr="00E53FC8" w:rsidRDefault="00E53FC8" w:rsidP="00E53FC8">
            <w:pPr>
              <w:spacing w:after="0" w:line="240" w:lineRule="auto"/>
              <w:rPr>
                <w:rFonts w:ascii="Times New Roman" w:eastAsia="Times New Roman" w:hAnsi="Times New Roman" w:cs="Times New Roman"/>
                <w:b/>
                <w:bCs/>
                <w:kern w:val="0"/>
                <w:sz w:val="20"/>
                <w:szCs w:val="20"/>
                <w:lang w:eastAsia="sk-SK"/>
                <w14:ligatures w14:val="none"/>
              </w:rPr>
            </w:pPr>
            <w:r w:rsidRPr="00E53FC8">
              <w:rPr>
                <w:rFonts w:ascii="Times New Roman" w:eastAsia="Times New Roman" w:hAnsi="Times New Roman" w:cs="Times New Roman"/>
                <w:b/>
                <w:bCs/>
                <w:kern w:val="0"/>
                <w:sz w:val="20"/>
                <w:szCs w:val="20"/>
                <w:lang w:eastAsia="sk-SK"/>
                <w14:ligatures w14:val="none"/>
              </w:rPr>
              <w:t xml:space="preserve">    7 896 713 364 </w:t>
            </w:r>
          </w:p>
        </w:tc>
      </w:tr>
    </w:tbl>
    <w:p w14:paraId="18B2BB06" w14:textId="77777777" w:rsid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p>
    <w:p w14:paraId="10CB8371" w14:textId="123BBC4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Pri zostavovaní návrhu rozpočtu verejného zdravotného poistenia na rok 2025 boli zohľadnené jednorazové výdavky, ktoré sa v ďalšom období nebudú opakovať. Ministerstvo zdravotníctva Slovenskej republiky preto navrhlo očistenie rozpočtovej bázy v celkovej výške </w:t>
      </w:r>
      <w:r w:rsidRPr="00B808B1">
        <w:rPr>
          <w:rFonts w:ascii="Times New Roman" w:eastAsia="Times New Roman" w:hAnsi="Times New Roman" w:cs="Times New Roman"/>
          <w:b/>
          <w:bCs/>
          <w:kern w:val="0"/>
          <w:sz w:val="24"/>
          <w:szCs w:val="24"/>
          <w:lang w:eastAsia="sk-SK"/>
          <w14:ligatures w14:val="none"/>
        </w:rPr>
        <w:t>−11 miliónov eur</w:t>
      </w:r>
      <w:r w:rsidRPr="00B808B1">
        <w:rPr>
          <w:rFonts w:ascii="Times New Roman" w:eastAsia="Times New Roman" w:hAnsi="Times New Roman" w:cs="Times New Roman"/>
          <w:kern w:val="0"/>
          <w:sz w:val="24"/>
          <w:szCs w:val="24"/>
          <w:lang w:eastAsia="sk-SK"/>
          <w14:ligatures w14:val="none"/>
        </w:rPr>
        <w:t>, aby medziročné porovnania rozpočtu vychádzali z reálnych a udržateľných výdavkov.</w:t>
      </w:r>
    </w:p>
    <w:p w14:paraId="6A7E5001"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Korekcie boli realizované v tých typoch zdravotnej starostlivosti, kde výdavky v roku 2024 zahŕňali dočasné alebo mimoriadne vplyvy, predovšetkým výdavky spätne doúčtované z dôvodu pandémie COVID-19, ukončené benefity a fakturácie za viacročné obdobia zo zahraničia.</w:t>
      </w:r>
    </w:p>
    <w:p w14:paraId="0AD01AEC"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Najvýraznejšia pozitívna korekcia bola realizovaná v oblasti </w:t>
      </w:r>
      <w:r w:rsidRPr="00B808B1">
        <w:rPr>
          <w:rFonts w:ascii="Times New Roman" w:eastAsia="Times New Roman" w:hAnsi="Times New Roman" w:cs="Times New Roman"/>
          <w:b/>
          <w:bCs/>
          <w:kern w:val="0"/>
          <w:sz w:val="24"/>
          <w:szCs w:val="24"/>
          <w:lang w:eastAsia="sk-SK"/>
          <w14:ligatures w14:val="none"/>
        </w:rPr>
        <w:t>zdravotníckych pomôcok</w:t>
      </w:r>
      <w:r w:rsidRPr="00B808B1">
        <w:rPr>
          <w:rFonts w:ascii="Times New Roman" w:eastAsia="Times New Roman" w:hAnsi="Times New Roman" w:cs="Times New Roman"/>
          <w:kern w:val="0"/>
          <w:sz w:val="24"/>
          <w:szCs w:val="24"/>
          <w:lang w:eastAsia="sk-SK"/>
          <w14:ligatures w14:val="none"/>
        </w:rPr>
        <w:t xml:space="preserve"> vo výške </w:t>
      </w:r>
      <w:r w:rsidRPr="00B808B1">
        <w:rPr>
          <w:rFonts w:ascii="Times New Roman" w:eastAsia="Times New Roman" w:hAnsi="Times New Roman" w:cs="Times New Roman"/>
          <w:b/>
          <w:bCs/>
          <w:kern w:val="0"/>
          <w:sz w:val="24"/>
          <w:szCs w:val="24"/>
          <w:lang w:eastAsia="sk-SK"/>
          <w14:ligatures w14:val="none"/>
        </w:rPr>
        <w:t>+15,6 mil. eur</w:t>
      </w:r>
      <w:r w:rsidRPr="00B808B1">
        <w:rPr>
          <w:rFonts w:ascii="Times New Roman" w:eastAsia="Times New Roman" w:hAnsi="Times New Roman" w:cs="Times New Roman"/>
          <w:kern w:val="0"/>
          <w:sz w:val="24"/>
          <w:szCs w:val="24"/>
          <w:lang w:eastAsia="sk-SK"/>
          <w14:ligatures w14:val="none"/>
        </w:rPr>
        <w:t xml:space="preserve">, čo odzrkadľuje prudký rast výdavkov najmä v segmente </w:t>
      </w:r>
      <w:proofErr w:type="spellStart"/>
      <w:r w:rsidRPr="00B808B1">
        <w:rPr>
          <w:rFonts w:ascii="Times New Roman" w:eastAsia="Times New Roman" w:hAnsi="Times New Roman" w:cs="Times New Roman"/>
          <w:kern w:val="0"/>
          <w:sz w:val="24"/>
          <w:szCs w:val="24"/>
          <w:lang w:eastAsia="sk-SK"/>
          <w14:ligatures w14:val="none"/>
        </w:rPr>
        <w:t>inkontinenčných</w:t>
      </w:r>
      <w:proofErr w:type="spellEnd"/>
      <w:r w:rsidRPr="00B808B1">
        <w:rPr>
          <w:rFonts w:ascii="Times New Roman" w:eastAsia="Times New Roman" w:hAnsi="Times New Roman" w:cs="Times New Roman"/>
          <w:kern w:val="0"/>
          <w:sz w:val="24"/>
          <w:szCs w:val="24"/>
          <w:lang w:eastAsia="sk-SK"/>
          <w14:ligatures w14:val="none"/>
        </w:rPr>
        <w:t xml:space="preserve"> pomôcok na konci roka 2024. Len v tomto roku dosiahli celkové výdavky v tejto oblasti 285 mil. eur, čo predstavuje medziročný nárast o 28 mil. eur.</w:t>
      </w:r>
    </w:p>
    <w:p w14:paraId="6CA57A11"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Naopak, v oblasti </w:t>
      </w:r>
      <w:r w:rsidRPr="00B808B1">
        <w:rPr>
          <w:rFonts w:ascii="Times New Roman" w:eastAsia="Times New Roman" w:hAnsi="Times New Roman" w:cs="Times New Roman"/>
          <w:b/>
          <w:bCs/>
          <w:kern w:val="0"/>
          <w:sz w:val="24"/>
          <w:szCs w:val="24"/>
          <w:lang w:eastAsia="sk-SK"/>
          <w14:ligatures w14:val="none"/>
        </w:rPr>
        <w:t>spoločných vyšetrovacích a liečebných zložiek (</w:t>
      </w:r>
      <w:proofErr w:type="spellStart"/>
      <w:r w:rsidRPr="00B808B1">
        <w:rPr>
          <w:rFonts w:ascii="Times New Roman" w:eastAsia="Times New Roman" w:hAnsi="Times New Roman" w:cs="Times New Roman"/>
          <w:b/>
          <w:bCs/>
          <w:kern w:val="0"/>
          <w:sz w:val="24"/>
          <w:szCs w:val="24"/>
          <w:lang w:eastAsia="sk-SK"/>
          <w14:ligatures w14:val="none"/>
        </w:rPr>
        <w:t>SVaLZ</w:t>
      </w:r>
      <w:proofErr w:type="spellEnd"/>
      <w:r w:rsidRPr="00B808B1">
        <w:rPr>
          <w:rFonts w:ascii="Times New Roman" w:eastAsia="Times New Roman" w:hAnsi="Times New Roman" w:cs="Times New Roman"/>
          <w:b/>
          <w:bCs/>
          <w:kern w:val="0"/>
          <w:sz w:val="24"/>
          <w:szCs w:val="24"/>
          <w:lang w:eastAsia="sk-SK"/>
          <w14:ligatures w14:val="none"/>
        </w:rPr>
        <w:t>)</w:t>
      </w:r>
      <w:r w:rsidRPr="00B808B1">
        <w:rPr>
          <w:rFonts w:ascii="Times New Roman" w:eastAsia="Times New Roman" w:hAnsi="Times New Roman" w:cs="Times New Roman"/>
          <w:kern w:val="0"/>
          <w:sz w:val="24"/>
          <w:szCs w:val="24"/>
          <w:lang w:eastAsia="sk-SK"/>
          <w14:ligatures w14:val="none"/>
        </w:rPr>
        <w:t xml:space="preserve"> bola báza znížená o </w:t>
      </w:r>
      <w:r w:rsidRPr="00B808B1">
        <w:rPr>
          <w:rFonts w:ascii="Times New Roman" w:eastAsia="Times New Roman" w:hAnsi="Times New Roman" w:cs="Times New Roman"/>
          <w:b/>
          <w:bCs/>
          <w:kern w:val="0"/>
          <w:sz w:val="24"/>
          <w:szCs w:val="24"/>
          <w:lang w:eastAsia="sk-SK"/>
          <w14:ligatures w14:val="none"/>
        </w:rPr>
        <w:t>−6,3 mil. eur</w:t>
      </w:r>
      <w:r w:rsidRPr="00B808B1">
        <w:rPr>
          <w:rFonts w:ascii="Times New Roman" w:eastAsia="Times New Roman" w:hAnsi="Times New Roman" w:cs="Times New Roman"/>
          <w:kern w:val="0"/>
          <w:sz w:val="24"/>
          <w:szCs w:val="24"/>
          <w:lang w:eastAsia="sk-SK"/>
          <w14:ligatures w14:val="none"/>
        </w:rPr>
        <w:t xml:space="preserve">, pričom išlo o doúčtovanie jednorazových výdavkov spojených s COVID-19, najmä laboratórne testy a zobrazovacie vyšetrenia. Podobne, vo </w:t>
      </w:r>
      <w:r w:rsidRPr="00B808B1">
        <w:rPr>
          <w:rFonts w:ascii="Times New Roman" w:eastAsia="Times New Roman" w:hAnsi="Times New Roman" w:cs="Times New Roman"/>
          <w:b/>
          <w:bCs/>
          <w:kern w:val="0"/>
          <w:sz w:val="24"/>
          <w:szCs w:val="24"/>
          <w:lang w:eastAsia="sk-SK"/>
          <w14:ligatures w14:val="none"/>
        </w:rPr>
        <w:t>všeobecnej ambulantnej starostlivosti</w:t>
      </w:r>
      <w:r w:rsidRPr="00B808B1">
        <w:rPr>
          <w:rFonts w:ascii="Times New Roman" w:eastAsia="Times New Roman" w:hAnsi="Times New Roman" w:cs="Times New Roman"/>
          <w:kern w:val="0"/>
          <w:sz w:val="24"/>
          <w:szCs w:val="24"/>
          <w:lang w:eastAsia="sk-SK"/>
          <w14:ligatures w14:val="none"/>
        </w:rPr>
        <w:t xml:space="preserve"> sa uplatnila korekcia </w:t>
      </w:r>
      <w:r w:rsidRPr="00B808B1">
        <w:rPr>
          <w:rFonts w:ascii="Times New Roman" w:eastAsia="Times New Roman" w:hAnsi="Times New Roman" w:cs="Times New Roman"/>
          <w:b/>
          <w:bCs/>
          <w:kern w:val="0"/>
          <w:sz w:val="24"/>
          <w:szCs w:val="24"/>
          <w:lang w:eastAsia="sk-SK"/>
          <w14:ligatures w14:val="none"/>
        </w:rPr>
        <w:t>−2 mil. eur</w:t>
      </w:r>
      <w:r w:rsidRPr="00B808B1">
        <w:rPr>
          <w:rFonts w:ascii="Times New Roman" w:eastAsia="Times New Roman" w:hAnsi="Times New Roman" w:cs="Times New Roman"/>
          <w:kern w:val="0"/>
          <w:sz w:val="24"/>
          <w:szCs w:val="24"/>
          <w:lang w:eastAsia="sk-SK"/>
          <w14:ligatures w14:val="none"/>
        </w:rPr>
        <w:t xml:space="preserve"> v dôsledku poklesu výskytu COVID-</w:t>
      </w:r>
      <w:proofErr w:type="spellStart"/>
      <w:r w:rsidRPr="00B808B1">
        <w:rPr>
          <w:rFonts w:ascii="Times New Roman" w:eastAsia="Times New Roman" w:hAnsi="Times New Roman" w:cs="Times New Roman"/>
          <w:kern w:val="0"/>
          <w:sz w:val="24"/>
          <w:szCs w:val="24"/>
          <w:lang w:eastAsia="sk-SK"/>
          <w14:ligatures w14:val="none"/>
        </w:rPr>
        <w:t>telemedicínskych</w:t>
      </w:r>
      <w:proofErr w:type="spellEnd"/>
      <w:r w:rsidRPr="00B808B1">
        <w:rPr>
          <w:rFonts w:ascii="Times New Roman" w:eastAsia="Times New Roman" w:hAnsi="Times New Roman" w:cs="Times New Roman"/>
          <w:kern w:val="0"/>
          <w:sz w:val="24"/>
          <w:szCs w:val="24"/>
          <w:lang w:eastAsia="sk-SK"/>
          <w14:ligatures w14:val="none"/>
        </w:rPr>
        <w:t xml:space="preserve"> výkonov.</w:t>
      </w:r>
    </w:p>
    <w:p w14:paraId="2348D012"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Ďalšia významná korekcia bola aplikovaná na segment </w:t>
      </w:r>
      <w:r w:rsidRPr="00B808B1">
        <w:rPr>
          <w:rFonts w:ascii="Times New Roman" w:eastAsia="Times New Roman" w:hAnsi="Times New Roman" w:cs="Times New Roman"/>
          <w:b/>
          <w:bCs/>
          <w:kern w:val="0"/>
          <w:sz w:val="24"/>
          <w:szCs w:val="24"/>
          <w:lang w:eastAsia="sk-SK"/>
          <w14:ligatures w14:val="none"/>
        </w:rPr>
        <w:t>špecializovanej ambulantnej starostlivosti</w:t>
      </w:r>
      <w:r w:rsidRPr="00B808B1">
        <w:rPr>
          <w:rFonts w:ascii="Times New Roman" w:eastAsia="Times New Roman" w:hAnsi="Times New Roman" w:cs="Times New Roman"/>
          <w:kern w:val="0"/>
          <w:sz w:val="24"/>
          <w:szCs w:val="24"/>
          <w:lang w:eastAsia="sk-SK"/>
          <w14:ligatures w14:val="none"/>
        </w:rPr>
        <w:t xml:space="preserve">, kde bola báza znížená o </w:t>
      </w:r>
      <w:r w:rsidRPr="00B808B1">
        <w:rPr>
          <w:rFonts w:ascii="Times New Roman" w:eastAsia="Times New Roman" w:hAnsi="Times New Roman" w:cs="Times New Roman"/>
          <w:b/>
          <w:bCs/>
          <w:kern w:val="0"/>
          <w:sz w:val="24"/>
          <w:szCs w:val="24"/>
          <w:lang w:eastAsia="sk-SK"/>
          <w14:ligatures w14:val="none"/>
        </w:rPr>
        <w:t>−16,5 mil. eur</w:t>
      </w:r>
      <w:r w:rsidRPr="00B808B1">
        <w:rPr>
          <w:rFonts w:ascii="Times New Roman" w:eastAsia="Times New Roman" w:hAnsi="Times New Roman" w:cs="Times New Roman"/>
          <w:kern w:val="0"/>
          <w:sz w:val="24"/>
          <w:szCs w:val="24"/>
          <w:lang w:eastAsia="sk-SK"/>
          <w14:ligatures w14:val="none"/>
        </w:rPr>
        <w:t>. Toto zníženie odráža ukončenie zubného benefitu, ktorý bol poskytovaný do 30. apríla 2024 a od roku 2025 bude nahradený len čiastočne. V roku 2023 zdravotné poisťovne minuli na všetky benefity viac ako 60 miliónov eur, pričom 75 % z tejto sumy tvorili práve benefity zubného charakteru.</w:t>
      </w:r>
    </w:p>
    <w:p w14:paraId="3B62F99D"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V oblasti </w:t>
      </w:r>
      <w:r w:rsidRPr="00B808B1">
        <w:rPr>
          <w:rFonts w:ascii="Times New Roman" w:eastAsia="Times New Roman" w:hAnsi="Times New Roman" w:cs="Times New Roman"/>
          <w:b/>
          <w:bCs/>
          <w:kern w:val="0"/>
          <w:sz w:val="24"/>
          <w:szCs w:val="24"/>
          <w:lang w:eastAsia="sk-SK"/>
          <w14:ligatures w14:val="none"/>
        </w:rPr>
        <w:t>inej zdravotnej starostlivosti</w:t>
      </w:r>
      <w:r w:rsidRPr="00B808B1">
        <w:rPr>
          <w:rFonts w:ascii="Times New Roman" w:eastAsia="Times New Roman" w:hAnsi="Times New Roman" w:cs="Times New Roman"/>
          <w:kern w:val="0"/>
          <w:sz w:val="24"/>
          <w:szCs w:val="24"/>
          <w:lang w:eastAsia="sk-SK"/>
          <w14:ligatures w14:val="none"/>
        </w:rPr>
        <w:t xml:space="preserve"> bola báza znížená o </w:t>
      </w:r>
      <w:r w:rsidRPr="00B808B1">
        <w:rPr>
          <w:rFonts w:ascii="Times New Roman" w:eastAsia="Times New Roman" w:hAnsi="Times New Roman" w:cs="Times New Roman"/>
          <w:b/>
          <w:bCs/>
          <w:kern w:val="0"/>
          <w:sz w:val="24"/>
          <w:szCs w:val="24"/>
          <w:lang w:eastAsia="sk-SK"/>
          <w14:ligatures w14:val="none"/>
        </w:rPr>
        <w:t>−1,8 mil. eur</w:t>
      </w:r>
      <w:r w:rsidRPr="00B808B1">
        <w:rPr>
          <w:rFonts w:ascii="Times New Roman" w:eastAsia="Times New Roman" w:hAnsi="Times New Roman" w:cs="Times New Roman"/>
          <w:kern w:val="0"/>
          <w:sz w:val="24"/>
          <w:szCs w:val="24"/>
          <w:lang w:eastAsia="sk-SK"/>
          <w14:ligatures w14:val="none"/>
        </w:rPr>
        <w:t xml:space="preserve"> z dôvodu jednorazového vyúčtovania starostlivosti českou stranou za poistencov EÚ za viacero </w:t>
      </w:r>
      <w:r w:rsidRPr="00B808B1">
        <w:rPr>
          <w:rFonts w:ascii="Times New Roman" w:eastAsia="Times New Roman" w:hAnsi="Times New Roman" w:cs="Times New Roman"/>
          <w:kern w:val="0"/>
          <w:sz w:val="24"/>
          <w:szCs w:val="24"/>
          <w:lang w:eastAsia="sk-SK"/>
          <w14:ligatures w14:val="none"/>
        </w:rPr>
        <w:lastRenderedPageBreak/>
        <w:t>predchádzajúcich rokov. Vzhľadom na výnimočnosť tejto udalosti sa v roku 2025 podobná fakturácia neočakáva.</w:t>
      </w:r>
    </w:p>
    <w:p w14:paraId="5F0EC2EA" w14:textId="77777777"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Celkovo teda návrh korekcií rozpočtovej bázy zohľadnil:</w:t>
      </w:r>
    </w:p>
    <w:p w14:paraId="545884C4" w14:textId="77777777" w:rsidR="00B808B1" w:rsidRPr="00B808B1" w:rsidRDefault="00B808B1" w:rsidP="00B808B1">
      <w:pPr>
        <w:pStyle w:val="Odsekzoznamu"/>
        <w:numPr>
          <w:ilvl w:val="0"/>
          <w:numId w:val="46"/>
        </w:numPr>
        <w:spacing w:after="0" w:line="240" w:lineRule="auto"/>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b/>
          <w:bCs/>
          <w:kern w:val="0"/>
          <w:sz w:val="24"/>
          <w:szCs w:val="24"/>
          <w:lang w:eastAsia="sk-SK"/>
          <w14:ligatures w14:val="none"/>
        </w:rPr>
        <w:t>+15,6 mil. eur</w:t>
      </w:r>
      <w:r w:rsidRPr="00B808B1">
        <w:rPr>
          <w:rFonts w:ascii="Times New Roman" w:eastAsia="Times New Roman" w:hAnsi="Times New Roman" w:cs="Times New Roman"/>
          <w:kern w:val="0"/>
          <w:sz w:val="24"/>
          <w:szCs w:val="24"/>
          <w:lang w:eastAsia="sk-SK"/>
          <w14:ligatures w14:val="none"/>
        </w:rPr>
        <w:t xml:space="preserve"> navýšenie v zdravotníckych pomôckach,</w:t>
      </w:r>
    </w:p>
    <w:p w14:paraId="62EA3369" w14:textId="77777777" w:rsidR="00B808B1" w:rsidRPr="00B808B1" w:rsidRDefault="00B808B1" w:rsidP="00B808B1">
      <w:pPr>
        <w:pStyle w:val="Odsekzoznamu"/>
        <w:numPr>
          <w:ilvl w:val="0"/>
          <w:numId w:val="46"/>
        </w:numPr>
        <w:spacing w:after="0" w:line="240" w:lineRule="auto"/>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b/>
          <w:bCs/>
          <w:kern w:val="0"/>
          <w:sz w:val="24"/>
          <w:szCs w:val="24"/>
          <w:lang w:eastAsia="sk-SK"/>
          <w14:ligatures w14:val="none"/>
        </w:rPr>
        <w:t>−6,3 mil. eur</w:t>
      </w:r>
      <w:r w:rsidRPr="00B808B1">
        <w:rPr>
          <w:rFonts w:ascii="Times New Roman" w:eastAsia="Times New Roman" w:hAnsi="Times New Roman" w:cs="Times New Roman"/>
          <w:kern w:val="0"/>
          <w:sz w:val="24"/>
          <w:szCs w:val="24"/>
          <w:lang w:eastAsia="sk-SK"/>
          <w14:ligatures w14:val="none"/>
        </w:rPr>
        <w:t xml:space="preserve"> v </w:t>
      </w:r>
      <w:proofErr w:type="spellStart"/>
      <w:r w:rsidRPr="00B808B1">
        <w:rPr>
          <w:rFonts w:ascii="Times New Roman" w:eastAsia="Times New Roman" w:hAnsi="Times New Roman" w:cs="Times New Roman"/>
          <w:kern w:val="0"/>
          <w:sz w:val="24"/>
          <w:szCs w:val="24"/>
          <w:lang w:eastAsia="sk-SK"/>
          <w14:ligatures w14:val="none"/>
        </w:rPr>
        <w:t>SVaLZ</w:t>
      </w:r>
      <w:proofErr w:type="spellEnd"/>
      <w:r w:rsidRPr="00B808B1">
        <w:rPr>
          <w:rFonts w:ascii="Times New Roman" w:eastAsia="Times New Roman" w:hAnsi="Times New Roman" w:cs="Times New Roman"/>
          <w:kern w:val="0"/>
          <w:sz w:val="24"/>
          <w:szCs w:val="24"/>
          <w:lang w:eastAsia="sk-SK"/>
          <w14:ligatures w14:val="none"/>
        </w:rPr>
        <w:t>,</w:t>
      </w:r>
    </w:p>
    <w:p w14:paraId="4DC325AD" w14:textId="77777777" w:rsidR="00B808B1" w:rsidRPr="00B808B1" w:rsidRDefault="00B808B1" w:rsidP="00B808B1">
      <w:pPr>
        <w:pStyle w:val="Odsekzoznamu"/>
        <w:numPr>
          <w:ilvl w:val="0"/>
          <w:numId w:val="46"/>
        </w:numPr>
        <w:spacing w:after="0" w:line="240" w:lineRule="auto"/>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b/>
          <w:bCs/>
          <w:kern w:val="0"/>
          <w:sz w:val="24"/>
          <w:szCs w:val="24"/>
          <w:lang w:eastAsia="sk-SK"/>
          <w14:ligatures w14:val="none"/>
        </w:rPr>
        <w:t>−16,5 mil. eur</w:t>
      </w:r>
      <w:r w:rsidRPr="00B808B1">
        <w:rPr>
          <w:rFonts w:ascii="Times New Roman" w:eastAsia="Times New Roman" w:hAnsi="Times New Roman" w:cs="Times New Roman"/>
          <w:kern w:val="0"/>
          <w:sz w:val="24"/>
          <w:szCs w:val="24"/>
          <w:lang w:eastAsia="sk-SK"/>
          <w14:ligatures w14:val="none"/>
        </w:rPr>
        <w:t xml:space="preserve"> v špecializovanej ambulantnej starostlivosti,</w:t>
      </w:r>
    </w:p>
    <w:p w14:paraId="52893237" w14:textId="77777777" w:rsidR="00B808B1" w:rsidRPr="00B808B1" w:rsidRDefault="00B808B1" w:rsidP="00B808B1">
      <w:pPr>
        <w:pStyle w:val="Odsekzoznamu"/>
        <w:numPr>
          <w:ilvl w:val="0"/>
          <w:numId w:val="46"/>
        </w:numPr>
        <w:spacing w:after="0" w:line="240" w:lineRule="auto"/>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b/>
          <w:bCs/>
          <w:kern w:val="0"/>
          <w:sz w:val="24"/>
          <w:szCs w:val="24"/>
          <w:lang w:eastAsia="sk-SK"/>
          <w14:ligatures w14:val="none"/>
        </w:rPr>
        <w:t>−2 mil. eur</w:t>
      </w:r>
      <w:r w:rsidRPr="00B808B1">
        <w:rPr>
          <w:rFonts w:ascii="Times New Roman" w:eastAsia="Times New Roman" w:hAnsi="Times New Roman" w:cs="Times New Roman"/>
          <w:kern w:val="0"/>
          <w:sz w:val="24"/>
          <w:szCs w:val="24"/>
          <w:lang w:eastAsia="sk-SK"/>
          <w14:ligatures w14:val="none"/>
        </w:rPr>
        <w:t xml:space="preserve"> vo všeobecnej ambulantnej starostlivosti,</w:t>
      </w:r>
    </w:p>
    <w:p w14:paraId="7458560C" w14:textId="77777777" w:rsidR="00B808B1" w:rsidRPr="00B808B1" w:rsidRDefault="00B808B1" w:rsidP="00B808B1">
      <w:pPr>
        <w:pStyle w:val="Odsekzoznamu"/>
        <w:numPr>
          <w:ilvl w:val="0"/>
          <w:numId w:val="46"/>
        </w:numPr>
        <w:spacing w:after="0" w:line="240" w:lineRule="auto"/>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b/>
          <w:bCs/>
          <w:kern w:val="0"/>
          <w:sz w:val="24"/>
          <w:szCs w:val="24"/>
          <w:lang w:eastAsia="sk-SK"/>
          <w14:ligatures w14:val="none"/>
        </w:rPr>
        <w:t>−1,8 mil. eur</w:t>
      </w:r>
      <w:r w:rsidRPr="00B808B1">
        <w:rPr>
          <w:rFonts w:ascii="Times New Roman" w:eastAsia="Times New Roman" w:hAnsi="Times New Roman" w:cs="Times New Roman"/>
          <w:kern w:val="0"/>
          <w:sz w:val="24"/>
          <w:szCs w:val="24"/>
          <w:lang w:eastAsia="sk-SK"/>
          <w14:ligatures w14:val="none"/>
        </w:rPr>
        <w:t xml:space="preserve"> v inej zdravotnej starostlivosti,</w:t>
      </w:r>
    </w:p>
    <w:p w14:paraId="7BEA040A" w14:textId="77777777" w:rsidR="00B808B1" w:rsidRPr="00B808B1" w:rsidRDefault="00B808B1" w:rsidP="00B808B1">
      <w:pPr>
        <w:spacing w:after="0" w:line="240" w:lineRule="auto"/>
        <w:ind w:firstLine="360"/>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 xml:space="preserve">čím bol dosiahnutý celkový čistý efekt korekcie rozpočtovej bázy na úrovni </w:t>
      </w:r>
      <w:r w:rsidRPr="00B808B1">
        <w:rPr>
          <w:rFonts w:ascii="Times New Roman" w:eastAsia="Times New Roman" w:hAnsi="Times New Roman" w:cs="Times New Roman"/>
          <w:b/>
          <w:bCs/>
          <w:kern w:val="0"/>
          <w:sz w:val="24"/>
          <w:szCs w:val="24"/>
          <w:lang w:eastAsia="sk-SK"/>
          <w14:ligatures w14:val="none"/>
        </w:rPr>
        <w:t>−11 mil. eur</w:t>
      </w:r>
      <w:r w:rsidRPr="00B808B1">
        <w:rPr>
          <w:rFonts w:ascii="Times New Roman" w:eastAsia="Times New Roman" w:hAnsi="Times New Roman" w:cs="Times New Roman"/>
          <w:kern w:val="0"/>
          <w:sz w:val="24"/>
          <w:szCs w:val="24"/>
          <w:lang w:eastAsia="sk-SK"/>
          <w14:ligatures w14:val="none"/>
        </w:rPr>
        <w:t>.</w:t>
      </w:r>
    </w:p>
    <w:p w14:paraId="7177FAF2" w14:textId="77777777" w:rsid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p>
    <w:p w14:paraId="5BA9F33C" w14:textId="0F2AA13B" w:rsidR="00B808B1" w:rsidRPr="00B808B1" w:rsidRDefault="00B808B1" w:rsidP="00B808B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B808B1">
        <w:rPr>
          <w:rFonts w:ascii="Times New Roman" w:eastAsia="Times New Roman" w:hAnsi="Times New Roman" w:cs="Times New Roman"/>
          <w:kern w:val="0"/>
          <w:sz w:val="24"/>
          <w:szCs w:val="24"/>
          <w:lang w:eastAsia="sk-SK"/>
          <w14:ligatures w14:val="none"/>
        </w:rPr>
        <w:t>Tieto úpravy zabezpečili, že očistená báza pre rok 2025 zodpovedá reálnemu vývoju potrieb systému a umožňuje objektívne vyhodnotenie medziročných zmien. Korekcie zároveň vytvárajú priestor pre efektívnejšiu alokáciu zdrojov do oblastí s rastúcim dopytom, ako je ústavná zdravotná starostlivosť, lieková politika či domáca ošetrovateľská starostlivosť.</w:t>
      </w:r>
    </w:p>
    <w:p w14:paraId="3E98BE82" w14:textId="77777777" w:rsidR="003F6971" w:rsidRDefault="003F6971" w:rsidP="003F6971">
      <w:pPr>
        <w:pStyle w:val="p1"/>
        <w:jc w:val="both"/>
        <w:rPr>
          <w:rFonts w:ascii="Times New Roman" w:eastAsiaTheme="minorEastAsia" w:hAnsi="Times New Roman"/>
          <w:color w:val="C00000"/>
          <w:sz w:val="24"/>
          <w:szCs w:val="24"/>
          <w:lang w:eastAsia="en-US"/>
        </w:rPr>
      </w:pPr>
    </w:p>
    <w:p w14:paraId="539D3F03" w14:textId="76D6DC0B" w:rsidR="007A6039" w:rsidRPr="00EB6D39" w:rsidRDefault="00AA4A47" w:rsidP="002E5CA3">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b/>
      </w:r>
      <w:r w:rsidR="00336421" w:rsidRPr="00EB6D39">
        <w:rPr>
          <w:rFonts w:ascii="Times New Roman" w:hAnsi="Times New Roman" w:cs="Times New Roman"/>
          <w:sz w:val="24"/>
          <w:szCs w:val="24"/>
        </w:rPr>
        <w:t>Rozdiel medzi c</w:t>
      </w:r>
      <w:r w:rsidR="00336421" w:rsidRPr="00EB6D39">
        <w:rPr>
          <w:rFonts w:ascii="Times New Roman" w:eastAsia="Times New Roman" w:hAnsi="Times New Roman" w:cs="Times New Roman"/>
          <w:sz w:val="24"/>
          <w:szCs w:val="24"/>
          <w:lang w:eastAsia="sk-SK"/>
        </w:rPr>
        <w:t xml:space="preserve">elkovou sumou výdavkov určených na zdravotnú starostlivosť </w:t>
      </w:r>
      <w:r w:rsidR="00727F00" w:rsidRPr="00EB6D39">
        <w:rPr>
          <w:rFonts w:ascii="Times New Roman" w:eastAsia="Times New Roman" w:hAnsi="Times New Roman" w:cs="Times New Roman"/>
          <w:sz w:val="24"/>
          <w:szCs w:val="24"/>
          <w:lang w:eastAsia="sk-SK"/>
        </w:rPr>
        <w:t xml:space="preserve">(tabuľka 2) </w:t>
      </w:r>
      <w:r w:rsidR="00336421" w:rsidRPr="00EB6D39">
        <w:rPr>
          <w:rFonts w:ascii="Times New Roman" w:eastAsia="Times New Roman" w:hAnsi="Times New Roman" w:cs="Times New Roman"/>
          <w:sz w:val="24"/>
          <w:szCs w:val="24"/>
          <w:lang w:eastAsia="sk-SK"/>
        </w:rPr>
        <w:t>a n</w:t>
      </w:r>
      <w:r w:rsidR="00336421" w:rsidRPr="00EB6D39">
        <w:rPr>
          <w:rFonts w:ascii="Times New Roman" w:hAnsi="Times New Roman" w:cs="Times New Roman"/>
          <w:sz w:val="24"/>
          <w:szCs w:val="24"/>
        </w:rPr>
        <w:t>avrhovanými minimálnymi sumami</w:t>
      </w:r>
      <w:r w:rsidR="00727F00" w:rsidRPr="00EB6D39">
        <w:rPr>
          <w:rFonts w:ascii="Times New Roman" w:hAnsi="Times New Roman" w:cs="Times New Roman"/>
          <w:sz w:val="24"/>
          <w:szCs w:val="24"/>
        </w:rPr>
        <w:t xml:space="preserve"> (tabuľka 3)</w:t>
      </w:r>
      <w:r w:rsidR="00336421" w:rsidRPr="00EB6D39">
        <w:rPr>
          <w:rFonts w:ascii="Times New Roman" w:hAnsi="Times New Roman" w:cs="Times New Roman"/>
          <w:sz w:val="24"/>
          <w:szCs w:val="24"/>
        </w:rPr>
        <w:t xml:space="preserve"> umožňuje zabezpečiť variabilitu pre zdravotné poisťovne</w:t>
      </w:r>
      <w:r w:rsidR="006032E7" w:rsidRPr="00EB6D39">
        <w:rPr>
          <w:rFonts w:ascii="Times New Roman" w:hAnsi="Times New Roman" w:cs="Times New Roman"/>
          <w:sz w:val="24"/>
          <w:szCs w:val="24"/>
        </w:rPr>
        <w:t>, ktoré môžu</w:t>
      </w:r>
      <w:r w:rsidR="00336421" w:rsidRPr="00EB6D39">
        <w:rPr>
          <w:rFonts w:ascii="Times New Roman" w:hAnsi="Times New Roman" w:cs="Times New Roman"/>
          <w:sz w:val="24"/>
          <w:szCs w:val="24"/>
        </w:rPr>
        <w:t xml:space="preserve"> </w:t>
      </w:r>
      <w:r w:rsidR="00E74030" w:rsidRPr="00EB6D39">
        <w:rPr>
          <w:rFonts w:ascii="Times New Roman" w:hAnsi="Times New Roman" w:cs="Times New Roman"/>
          <w:sz w:val="24"/>
          <w:szCs w:val="24"/>
        </w:rPr>
        <w:t>použiť</w:t>
      </w:r>
      <w:r w:rsidR="00336421" w:rsidRPr="00EB6D39">
        <w:rPr>
          <w:rFonts w:ascii="Times New Roman" w:hAnsi="Times New Roman" w:cs="Times New Roman"/>
          <w:sz w:val="24"/>
          <w:szCs w:val="24"/>
        </w:rPr>
        <w:t xml:space="preserve"> výdavky </w:t>
      </w:r>
      <w:r w:rsidR="006032E7" w:rsidRPr="00EB6D39">
        <w:rPr>
          <w:rFonts w:ascii="Times New Roman" w:hAnsi="Times New Roman" w:cs="Times New Roman"/>
          <w:sz w:val="24"/>
          <w:szCs w:val="24"/>
        </w:rPr>
        <w:t xml:space="preserve">do takých typov zdravotnej starostlivosti </w:t>
      </w:r>
      <w:r w:rsidR="00336421" w:rsidRPr="00EB6D39">
        <w:rPr>
          <w:rFonts w:ascii="Times New Roman" w:hAnsi="Times New Roman" w:cs="Times New Roman"/>
          <w:sz w:val="24"/>
          <w:szCs w:val="24"/>
        </w:rPr>
        <w:t xml:space="preserve">podľa </w:t>
      </w:r>
      <w:r w:rsidR="006032E7" w:rsidRPr="00EB6D39">
        <w:rPr>
          <w:rFonts w:ascii="Times New Roman" w:hAnsi="Times New Roman" w:cs="Times New Roman"/>
          <w:sz w:val="24"/>
          <w:szCs w:val="24"/>
        </w:rPr>
        <w:t>potrieb ich poistného kmeňa.</w:t>
      </w:r>
      <w:r w:rsidR="00E74030" w:rsidRPr="00EB6D39">
        <w:rPr>
          <w:rFonts w:ascii="Times New Roman" w:hAnsi="Times New Roman" w:cs="Times New Roman"/>
          <w:sz w:val="24"/>
          <w:szCs w:val="24"/>
        </w:rPr>
        <w:t xml:space="preserve"> </w:t>
      </w:r>
    </w:p>
    <w:p w14:paraId="0CACB7DE" w14:textId="77777777" w:rsidR="00AA4A47" w:rsidRPr="00EB6D39" w:rsidRDefault="00AA4A47" w:rsidP="002E5CA3">
      <w:pPr>
        <w:spacing w:after="0" w:line="240" w:lineRule="auto"/>
        <w:jc w:val="both"/>
        <w:rPr>
          <w:rFonts w:ascii="Times New Roman" w:hAnsi="Times New Roman" w:cs="Times New Roman"/>
          <w:b/>
          <w:sz w:val="24"/>
          <w:szCs w:val="24"/>
        </w:rPr>
      </w:pPr>
    </w:p>
    <w:p w14:paraId="7A688679" w14:textId="77777777" w:rsidR="00AA4A47" w:rsidRPr="00EB6D39" w:rsidRDefault="00AA4A47" w:rsidP="0043689D">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EB6D39">
        <w:rPr>
          <w:rFonts w:ascii="Times New Roman" w:hAnsi="Times New Roman" w:cs="Times New Roman"/>
          <w:sz w:val="24"/>
          <w:szCs w:val="24"/>
        </w:rPr>
        <w:t>Je však potrebné zdôrazniť, že n</w:t>
      </w:r>
      <w:r w:rsidRPr="00EB6D39">
        <w:rPr>
          <w:rFonts w:ascii="Times New Roman" w:eastAsia="Times New Roman" w:hAnsi="Times New Roman" w:cs="Times New Roman"/>
          <w:kern w:val="0"/>
          <w:sz w:val="24"/>
          <w:szCs w:val="24"/>
          <w:lang w:eastAsia="sk-SK"/>
          <w14:ligatures w14:val="none"/>
        </w:rPr>
        <w:t>ávrh vyhlášky ustanovuje minimálne alokácie pre jednotlivé typy zdravotnej starostlivosti, ktoré boli stanovené podľa postupu uvedeného v návrhu vyhlášky zo sumy, ktorá už bola schválená v rozpočte a určená ako limit výdavkov na zdravotnú starostlivosť pre rok 2025. Stanovené minimálne alokácie je potrebné chápať v kontexte mimoriadneho konsolidačného úsilia a ozdravného procesu v celom spektre výdavkov rozpočtu verejnej správy. Jednotlivé alokácie zohľadňujú maximálne možnosti limitu výdavkov na verejné zdravotné poistenie tak, aby bolo zachované finančné zdravie poisťovní a zabezpečené aspoň minimálne finančné požiadavky jednotlivých typov zdravotnej starostlivosti. S ohľadom na uvedené, Ministerstvo zdravotníctva SR zaháji v tomto roku intenzívnu diskusiu o oprávnených nákladoch vo všetkých typoch zdravotnej starostlivosti v súlade s § 7c zákona č. 581/2004 Z. z.</w:t>
      </w:r>
    </w:p>
    <w:p w14:paraId="269A16E5" w14:textId="77777777" w:rsidR="007A6039" w:rsidRPr="00EB6D39" w:rsidRDefault="007A6039" w:rsidP="002E5CA3">
      <w:pPr>
        <w:spacing w:after="0" w:line="240" w:lineRule="auto"/>
        <w:jc w:val="both"/>
        <w:rPr>
          <w:rFonts w:ascii="Times New Roman" w:hAnsi="Times New Roman" w:cs="Times New Roman"/>
          <w:b/>
          <w:sz w:val="24"/>
          <w:szCs w:val="24"/>
        </w:rPr>
      </w:pPr>
    </w:p>
    <w:p w14:paraId="4B1C3503" w14:textId="23457C90" w:rsidR="00AA4A47" w:rsidRPr="00EB6D39" w:rsidRDefault="00384886" w:rsidP="002E5CA3">
      <w:pPr>
        <w:spacing w:after="0" w:line="240" w:lineRule="auto"/>
        <w:jc w:val="both"/>
        <w:rPr>
          <w:rFonts w:ascii="Times New Roman" w:hAnsi="Times New Roman" w:cs="Times New Roman"/>
          <w:b/>
          <w:sz w:val="24"/>
          <w:szCs w:val="24"/>
        </w:rPr>
      </w:pPr>
      <w:r w:rsidRPr="00EB6D39">
        <w:rPr>
          <w:rFonts w:ascii="Times New Roman" w:hAnsi="Times New Roman" w:cs="Times New Roman"/>
          <w:b/>
          <w:sz w:val="24"/>
          <w:szCs w:val="24"/>
        </w:rPr>
        <w:t>L</w:t>
      </w:r>
      <w:r w:rsidR="00AA4A47" w:rsidRPr="00EB6D39">
        <w:rPr>
          <w:rFonts w:ascii="Times New Roman" w:hAnsi="Times New Roman" w:cs="Times New Roman"/>
          <w:b/>
          <w:sz w:val="24"/>
          <w:szCs w:val="24"/>
        </w:rPr>
        <w:t xml:space="preserve">ieky a dietetické potraviny </w:t>
      </w:r>
    </w:p>
    <w:p w14:paraId="0415D170" w14:textId="407BB05F" w:rsidR="00384886" w:rsidRPr="00EB6D39" w:rsidRDefault="00384886"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V roku 2024 za 1,6 mld. eur bolo na Slovensku nakúpených takmer 5 mld. štandardných dávok liečiv </w:t>
      </w:r>
      <w:r w:rsidRPr="00EB6D39">
        <w:rPr>
          <w:rFonts w:ascii="Times New Roman" w:hAnsi="Times New Roman" w:cs="Times New Roman"/>
          <w:sz w:val="24"/>
          <w:szCs w:val="24"/>
          <w:lang w:val="en-US"/>
        </w:rPr>
        <w:t>(</w:t>
      </w:r>
      <w:r w:rsidRPr="00EB6D39">
        <w:rPr>
          <w:rFonts w:ascii="Times New Roman" w:hAnsi="Times New Roman" w:cs="Times New Roman"/>
          <w:sz w:val="24"/>
          <w:szCs w:val="24"/>
        </w:rPr>
        <w:t>ŠDL</w:t>
      </w:r>
      <w:r w:rsidRPr="00EB6D39">
        <w:rPr>
          <w:rFonts w:ascii="Times New Roman" w:hAnsi="Times New Roman" w:cs="Times New Roman"/>
          <w:sz w:val="24"/>
          <w:szCs w:val="24"/>
          <w:lang w:val="en-US"/>
        </w:rPr>
        <w:t>)</w:t>
      </w:r>
      <w:r w:rsidRPr="00EB6D39">
        <w:rPr>
          <w:rFonts w:ascii="Times New Roman" w:hAnsi="Times New Roman" w:cs="Times New Roman"/>
          <w:sz w:val="24"/>
          <w:szCs w:val="24"/>
        </w:rPr>
        <w:t xml:space="preserve">. Medziročne to predstavuje zvýšenie o vyše 24 miliónov ŠDL. Cieľom stratégie liekovej politiky je stabilizovať a znížiť náklady na liečbu bežných ochorení, tak aby bolo možné liečiť väčšie spektrum pacientov za nižšie náklady. Tento cieľ umožní zlepšenie zdravotného stavu širokého spektra populácie. Indikátorom je priemerná </w:t>
      </w:r>
      <w:r w:rsidR="0089359E" w:rsidRPr="00EB6D39">
        <w:rPr>
          <w:rFonts w:ascii="Times New Roman" w:hAnsi="Times New Roman" w:cs="Times New Roman"/>
          <w:sz w:val="24"/>
          <w:szCs w:val="24"/>
        </w:rPr>
        <w:t>úhrada</w:t>
      </w:r>
      <w:r w:rsidRPr="00EB6D39">
        <w:rPr>
          <w:rFonts w:ascii="Times New Roman" w:hAnsi="Times New Roman" w:cs="Times New Roman"/>
          <w:sz w:val="24"/>
          <w:szCs w:val="24"/>
        </w:rPr>
        <w:t xml:space="preserve"> na ŠDL. Cieľom</w:t>
      </w:r>
      <w:r w:rsidR="0089359E" w:rsidRPr="00EB6D39">
        <w:rPr>
          <w:rFonts w:ascii="Times New Roman" w:hAnsi="Times New Roman" w:cs="Times New Roman"/>
          <w:sz w:val="24"/>
          <w:szCs w:val="24"/>
        </w:rPr>
        <w:t xml:space="preserve">, </w:t>
      </w:r>
      <w:r w:rsidRPr="00EB6D39">
        <w:rPr>
          <w:rFonts w:ascii="Times New Roman" w:hAnsi="Times New Roman" w:cs="Times New Roman"/>
          <w:sz w:val="24"/>
          <w:szCs w:val="24"/>
        </w:rPr>
        <w:t>v horizonte nasledujúcich rokov v tejto oblasti</w:t>
      </w:r>
      <w:r w:rsidR="0089359E" w:rsidRPr="00EB6D39">
        <w:rPr>
          <w:rFonts w:ascii="Times New Roman" w:hAnsi="Times New Roman" w:cs="Times New Roman"/>
          <w:sz w:val="24"/>
          <w:szCs w:val="24"/>
        </w:rPr>
        <w:t>, je</w:t>
      </w:r>
      <w:r w:rsidRPr="00EB6D39">
        <w:rPr>
          <w:rFonts w:ascii="Times New Roman" w:hAnsi="Times New Roman" w:cs="Times New Roman"/>
          <w:sz w:val="24"/>
          <w:szCs w:val="24"/>
        </w:rPr>
        <w:t xml:space="preserve"> znížiť priemernú sumu úhrad za ŠDL</w:t>
      </w:r>
      <w:r w:rsidR="0089359E" w:rsidRPr="00EB6D39">
        <w:rPr>
          <w:rFonts w:ascii="Times New Roman" w:hAnsi="Times New Roman" w:cs="Times New Roman"/>
          <w:sz w:val="24"/>
          <w:szCs w:val="24"/>
        </w:rPr>
        <w:t>, čo znamená, že plánované úspory sa nedotknú oblasti dietetických potravín.</w:t>
      </w:r>
      <w:r w:rsidRPr="00EB6D39">
        <w:rPr>
          <w:rFonts w:ascii="Times New Roman" w:hAnsi="Times New Roman" w:cs="Times New Roman"/>
          <w:sz w:val="24"/>
          <w:szCs w:val="24"/>
        </w:rPr>
        <w:t xml:space="preserve"> </w:t>
      </w:r>
      <w:r w:rsidR="0089359E" w:rsidRPr="00EB6D39">
        <w:rPr>
          <w:rFonts w:ascii="Times New Roman" w:hAnsi="Times New Roman" w:cs="Times New Roman"/>
          <w:sz w:val="24"/>
          <w:szCs w:val="24"/>
        </w:rPr>
        <w:t>Zníženie priemernej sumy úhrad za ŠDL</w:t>
      </w:r>
      <w:r w:rsidRPr="00EB6D39">
        <w:rPr>
          <w:rFonts w:ascii="Times New Roman" w:hAnsi="Times New Roman" w:cs="Times New Roman"/>
          <w:sz w:val="24"/>
          <w:szCs w:val="24"/>
        </w:rPr>
        <w:t xml:space="preserve"> je potrebn</w:t>
      </w:r>
      <w:r w:rsidR="0089359E" w:rsidRPr="00EB6D39">
        <w:rPr>
          <w:rFonts w:ascii="Times New Roman" w:hAnsi="Times New Roman" w:cs="Times New Roman"/>
          <w:sz w:val="24"/>
          <w:szCs w:val="24"/>
        </w:rPr>
        <w:t>é predovšetkým</w:t>
      </w:r>
      <w:r w:rsidRPr="00EB6D39">
        <w:rPr>
          <w:rFonts w:ascii="Times New Roman" w:hAnsi="Times New Roman" w:cs="Times New Roman"/>
          <w:sz w:val="24"/>
          <w:szCs w:val="24"/>
        </w:rPr>
        <w:t xml:space="preserve"> pre </w:t>
      </w:r>
      <w:r w:rsidR="0089359E" w:rsidRPr="00EB6D39">
        <w:rPr>
          <w:rFonts w:ascii="Times New Roman" w:hAnsi="Times New Roman" w:cs="Times New Roman"/>
          <w:sz w:val="24"/>
          <w:szCs w:val="24"/>
        </w:rPr>
        <w:t>rozšírenie priestoru na vstup</w:t>
      </w:r>
      <w:r w:rsidRPr="00EB6D39">
        <w:rPr>
          <w:rFonts w:ascii="Times New Roman" w:hAnsi="Times New Roman" w:cs="Times New Roman"/>
          <w:sz w:val="24"/>
          <w:szCs w:val="24"/>
        </w:rPr>
        <w:t xml:space="preserve"> nových, častokrát vysoko nákladových inovatívnych liekov do systému úhrady pre pacientov v SR tak</w:t>
      </w:r>
      <w:r w:rsidR="00C34A31" w:rsidRPr="00EB6D39">
        <w:rPr>
          <w:rFonts w:ascii="Times New Roman" w:hAnsi="Times New Roman" w:cs="Times New Roman"/>
          <w:sz w:val="24"/>
          <w:szCs w:val="24"/>
        </w:rPr>
        <w:t>,</w:t>
      </w:r>
      <w:r w:rsidRPr="00EB6D39">
        <w:rPr>
          <w:rFonts w:ascii="Times New Roman" w:hAnsi="Times New Roman" w:cs="Times New Roman"/>
          <w:sz w:val="24"/>
          <w:szCs w:val="24"/>
        </w:rPr>
        <w:t xml:space="preserve"> aby mohli byť liečení v súlade s aktuálne platnými terapeutickými odporúčaniami a na základe medicíny založenej na dôkazoch. Ide najmä o oblasť onkológie, </w:t>
      </w:r>
      <w:r w:rsidR="005843E1" w:rsidRPr="00EB6D39">
        <w:rPr>
          <w:rFonts w:ascii="Times New Roman" w:hAnsi="Times New Roman" w:cs="Times New Roman"/>
          <w:sz w:val="24"/>
          <w:szCs w:val="24"/>
        </w:rPr>
        <w:t>neurológie,</w:t>
      </w:r>
      <w:r w:rsidR="00651666" w:rsidRPr="00EB6D39">
        <w:rPr>
          <w:rFonts w:ascii="Times New Roman" w:hAnsi="Times New Roman" w:cs="Times New Roman"/>
          <w:sz w:val="24"/>
          <w:szCs w:val="24"/>
        </w:rPr>
        <w:t xml:space="preserve"> </w:t>
      </w:r>
      <w:proofErr w:type="spellStart"/>
      <w:r w:rsidR="00651666" w:rsidRPr="00EB6D39">
        <w:rPr>
          <w:rFonts w:ascii="Times New Roman" w:hAnsi="Times New Roman" w:cs="Times New Roman"/>
          <w:sz w:val="24"/>
          <w:szCs w:val="24"/>
        </w:rPr>
        <w:t>neurodegeneratívnych</w:t>
      </w:r>
      <w:proofErr w:type="spellEnd"/>
      <w:r w:rsidR="00651666" w:rsidRPr="00EB6D39">
        <w:rPr>
          <w:rFonts w:ascii="Times New Roman" w:hAnsi="Times New Roman" w:cs="Times New Roman"/>
          <w:sz w:val="24"/>
          <w:szCs w:val="24"/>
        </w:rPr>
        <w:t xml:space="preserve"> ochorení,</w:t>
      </w:r>
      <w:r w:rsidR="005843E1" w:rsidRPr="00EB6D39">
        <w:rPr>
          <w:rFonts w:ascii="Times New Roman" w:hAnsi="Times New Roman" w:cs="Times New Roman"/>
          <w:sz w:val="24"/>
          <w:szCs w:val="24"/>
        </w:rPr>
        <w:t xml:space="preserve"> </w:t>
      </w:r>
      <w:r w:rsidRPr="00EB6D39">
        <w:rPr>
          <w:rFonts w:ascii="Times New Roman" w:hAnsi="Times New Roman" w:cs="Times New Roman"/>
          <w:sz w:val="24"/>
          <w:szCs w:val="24"/>
        </w:rPr>
        <w:t xml:space="preserve">zriedkavých ochorení, génovú terapiu ale aj kardiovaskulárne ochorenia a diabetes. </w:t>
      </w:r>
    </w:p>
    <w:p w14:paraId="5D5C0DBF" w14:textId="77777777" w:rsidR="00331236" w:rsidRPr="00EB6D39" w:rsidRDefault="00331236" w:rsidP="002E5CA3">
      <w:pPr>
        <w:spacing w:after="0" w:line="240" w:lineRule="auto"/>
        <w:jc w:val="both"/>
        <w:rPr>
          <w:rFonts w:ascii="Times New Roman" w:hAnsi="Times New Roman" w:cs="Times New Roman"/>
          <w:sz w:val="24"/>
          <w:szCs w:val="24"/>
        </w:rPr>
      </w:pPr>
    </w:p>
    <w:p w14:paraId="37456D25" w14:textId="3BC85A15" w:rsidR="007A6039" w:rsidRPr="00EB6D39" w:rsidRDefault="00AA4A47" w:rsidP="002E5CA3">
      <w:pPr>
        <w:spacing w:after="0" w:line="240" w:lineRule="auto"/>
        <w:jc w:val="both"/>
        <w:rPr>
          <w:rFonts w:ascii="Times New Roman" w:hAnsi="Times New Roman" w:cs="Times New Roman"/>
          <w:b/>
          <w:sz w:val="24"/>
          <w:szCs w:val="24"/>
        </w:rPr>
      </w:pPr>
      <w:r w:rsidRPr="00EB6D39">
        <w:rPr>
          <w:rFonts w:ascii="Times New Roman" w:hAnsi="Times New Roman" w:cs="Times New Roman"/>
          <w:b/>
          <w:sz w:val="24"/>
          <w:szCs w:val="24"/>
        </w:rPr>
        <w:t>Zdravotnícke pomôcky</w:t>
      </w:r>
    </w:p>
    <w:p w14:paraId="6E32E0E9" w14:textId="3AC2FFEC" w:rsidR="00C34A31" w:rsidRPr="00EB6D39" w:rsidRDefault="00384886"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V</w:t>
      </w:r>
      <w:r w:rsidR="0089359E" w:rsidRPr="00EB6D39">
        <w:rPr>
          <w:rFonts w:ascii="Times New Roman" w:hAnsi="Times New Roman" w:cs="Times New Roman"/>
          <w:sz w:val="24"/>
          <w:szCs w:val="24"/>
        </w:rPr>
        <w:t> roku 2024 bolo nakúpených 10 mil. kusov zdravotníckych pomôcok</w:t>
      </w:r>
      <w:r w:rsidR="00C34A31" w:rsidRPr="00EB6D39">
        <w:rPr>
          <w:rFonts w:ascii="Times New Roman" w:hAnsi="Times New Roman" w:cs="Times New Roman"/>
          <w:sz w:val="24"/>
          <w:szCs w:val="24"/>
        </w:rPr>
        <w:t>,</w:t>
      </w:r>
      <w:r w:rsidR="0089359E" w:rsidRPr="00EB6D39">
        <w:rPr>
          <w:rFonts w:ascii="Times New Roman" w:hAnsi="Times New Roman" w:cs="Times New Roman"/>
          <w:sz w:val="24"/>
          <w:szCs w:val="24"/>
        </w:rPr>
        <w:t xml:space="preserve"> </w:t>
      </w:r>
      <w:r w:rsidR="00C34A31" w:rsidRPr="00EB6D39">
        <w:rPr>
          <w:rFonts w:ascii="Times New Roman" w:hAnsi="Times New Roman" w:cs="Times New Roman"/>
          <w:sz w:val="24"/>
          <w:szCs w:val="24"/>
        </w:rPr>
        <w:t xml:space="preserve">čo predstavuje medziročný nárast o takmer 1 mil. kusov. Celkové výdavky na nakúpené zdravotnícke pomôcky </w:t>
      </w:r>
      <w:r w:rsidR="00C34A31" w:rsidRPr="00EB6D39">
        <w:rPr>
          <w:rFonts w:ascii="Times New Roman" w:hAnsi="Times New Roman" w:cs="Times New Roman"/>
          <w:sz w:val="24"/>
          <w:szCs w:val="24"/>
        </w:rPr>
        <w:lastRenderedPageBreak/>
        <w:t>dosiahli sumu takmer 2</w:t>
      </w:r>
      <w:r w:rsidR="003905B0" w:rsidRPr="00EB6D39">
        <w:rPr>
          <w:rFonts w:ascii="Times New Roman" w:hAnsi="Times New Roman" w:cs="Times New Roman"/>
          <w:sz w:val="24"/>
          <w:szCs w:val="24"/>
        </w:rPr>
        <w:t>85</w:t>
      </w:r>
      <w:r w:rsidR="00C34A31" w:rsidRPr="00EB6D39">
        <w:rPr>
          <w:rFonts w:ascii="Times New Roman" w:hAnsi="Times New Roman" w:cs="Times New Roman"/>
          <w:sz w:val="24"/>
          <w:szCs w:val="24"/>
        </w:rPr>
        <w:t xml:space="preserve"> mil. eur, čo predstavuje medziročný nárast o takmer </w:t>
      </w:r>
      <w:r w:rsidR="003905B0" w:rsidRPr="00EB6D39">
        <w:rPr>
          <w:rFonts w:ascii="Times New Roman" w:hAnsi="Times New Roman" w:cs="Times New Roman"/>
          <w:sz w:val="24"/>
          <w:szCs w:val="24"/>
        </w:rPr>
        <w:t>28</w:t>
      </w:r>
      <w:r w:rsidR="00C34A31" w:rsidRPr="00EB6D39">
        <w:rPr>
          <w:rFonts w:ascii="Times New Roman" w:hAnsi="Times New Roman" w:cs="Times New Roman"/>
          <w:sz w:val="24"/>
          <w:szCs w:val="24"/>
        </w:rPr>
        <w:t xml:space="preserve"> mil. eur. Trend súčasného tempa zvyšovania výdavkov na zdravotnícke pomôcky je potrebné optimalizovať, avšak s ohľadom na znižovanie medzery dostupnosti zdravotníckych pomôcok v porovnaní s ostatnými členskými krajinami EÚ.</w:t>
      </w:r>
    </w:p>
    <w:p w14:paraId="192673C9" w14:textId="77777777" w:rsidR="00331236" w:rsidRPr="00EB6D39" w:rsidRDefault="00331236" w:rsidP="002E5CA3">
      <w:pPr>
        <w:spacing w:after="0" w:line="240" w:lineRule="auto"/>
        <w:jc w:val="both"/>
        <w:rPr>
          <w:rFonts w:ascii="Times New Roman" w:hAnsi="Times New Roman" w:cs="Times New Roman"/>
          <w:sz w:val="24"/>
          <w:szCs w:val="24"/>
        </w:rPr>
      </w:pPr>
    </w:p>
    <w:p w14:paraId="067131D2" w14:textId="5233D327" w:rsidR="007A6039" w:rsidRPr="00EB6D39" w:rsidRDefault="00AA4A47" w:rsidP="002E5CA3">
      <w:pPr>
        <w:spacing w:after="0" w:line="240" w:lineRule="auto"/>
        <w:jc w:val="both"/>
        <w:rPr>
          <w:rFonts w:ascii="Times New Roman" w:hAnsi="Times New Roman" w:cs="Times New Roman"/>
          <w:sz w:val="24"/>
          <w:szCs w:val="24"/>
        </w:rPr>
      </w:pPr>
      <w:r w:rsidRPr="00EB6D39">
        <w:rPr>
          <w:rFonts w:ascii="Times New Roman" w:hAnsi="Times New Roman" w:cs="Times New Roman"/>
          <w:b/>
          <w:sz w:val="24"/>
          <w:szCs w:val="24"/>
        </w:rPr>
        <w:t>Ústavná zdravotná starostlivosť</w:t>
      </w:r>
    </w:p>
    <w:p w14:paraId="1C4B2038" w14:textId="63A2DBCB" w:rsidR="006A4CDE" w:rsidRPr="00EB6D39" w:rsidRDefault="00AA4A47" w:rsidP="00BF6655">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b/>
      </w:r>
      <w:r w:rsidR="006627FB" w:rsidRPr="00EB6D39">
        <w:rPr>
          <w:rFonts w:ascii="Times New Roman" w:hAnsi="Times New Roman" w:cs="Times New Roman"/>
          <w:sz w:val="24"/>
          <w:szCs w:val="24"/>
        </w:rPr>
        <w:t xml:space="preserve">Pokiaľ ide o DRG časť, medziročne sa zvyšuje počet hospitalizačných prípadov o 2,1 %. Efektívny </w:t>
      </w:r>
      <w:proofErr w:type="spellStart"/>
      <w:r w:rsidR="006627FB" w:rsidRPr="00EB6D39">
        <w:rPr>
          <w:rFonts w:ascii="Times New Roman" w:hAnsi="Times New Roman" w:cs="Times New Roman"/>
          <w:sz w:val="24"/>
          <w:szCs w:val="24"/>
        </w:rPr>
        <w:t>case</w:t>
      </w:r>
      <w:proofErr w:type="spellEnd"/>
      <w:r w:rsidR="006627FB" w:rsidRPr="00EB6D39">
        <w:rPr>
          <w:rFonts w:ascii="Times New Roman" w:hAnsi="Times New Roman" w:cs="Times New Roman"/>
          <w:sz w:val="24"/>
          <w:szCs w:val="24"/>
        </w:rPr>
        <w:t xml:space="preserve">-mix v DRG časti sa znížil vzhľadom na prechod na slovenský DRG mechanizmus a zmenu relatívnych váh na slovenské relatívne váhy, avšak úhrada za efektívny </w:t>
      </w:r>
      <w:proofErr w:type="spellStart"/>
      <w:r w:rsidR="006627FB" w:rsidRPr="00EB6D39">
        <w:rPr>
          <w:rFonts w:ascii="Times New Roman" w:hAnsi="Times New Roman" w:cs="Times New Roman"/>
          <w:sz w:val="24"/>
          <w:szCs w:val="24"/>
        </w:rPr>
        <w:t>case</w:t>
      </w:r>
      <w:proofErr w:type="spellEnd"/>
      <w:r w:rsidR="006627FB" w:rsidRPr="00EB6D39">
        <w:rPr>
          <w:rFonts w:ascii="Times New Roman" w:hAnsi="Times New Roman" w:cs="Times New Roman"/>
          <w:sz w:val="24"/>
          <w:szCs w:val="24"/>
        </w:rPr>
        <w:t xml:space="preserve">-mix medziročne stúpla o 205,3 mil. eur. Pokiaľ ide o </w:t>
      </w:r>
      <w:proofErr w:type="spellStart"/>
      <w:r w:rsidR="006627FB" w:rsidRPr="00EB6D39">
        <w:rPr>
          <w:rFonts w:ascii="Times New Roman" w:hAnsi="Times New Roman" w:cs="Times New Roman"/>
          <w:sz w:val="24"/>
          <w:szCs w:val="24"/>
        </w:rPr>
        <w:t>non</w:t>
      </w:r>
      <w:proofErr w:type="spellEnd"/>
      <w:r w:rsidR="006627FB" w:rsidRPr="00EB6D39">
        <w:rPr>
          <w:rFonts w:ascii="Times New Roman" w:hAnsi="Times New Roman" w:cs="Times New Roman"/>
          <w:sz w:val="24"/>
          <w:szCs w:val="24"/>
        </w:rPr>
        <w:t xml:space="preserve">-DRG časť je nárast počtu hospitalizácií zanedbateľný, pri medziročnom zvýšení počtu </w:t>
      </w:r>
      <w:proofErr w:type="spellStart"/>
      <w:r w:rsidR="006627FB" w:rsidRPr="00EB6D39">
        <w:rPr>
          <w:rFonts w:ascii="Times New Roman" w:hAnsi="Times New Roman" w:cs="Times New Roman"/>
          <w:sz w:val="24"/>
          <w:szCs w:val="24"/>
        </w:rPr>
        <w:t>lôžkodní</w:t>
      </w:r>
      <w:proofErr w:type="spellEnd"/>
      <w:r w:rsidR="006627FB" w:rsidRPr="00EB6D39">
        <w:rPr>
          <w:rFonts w:ascii="Times New Roman" w:hAnsi="Times New Roman" w:cs="Times New Roman"/>
          <w:sz w:val="24"/>
          <w:szCs w:val="24"/>
        </w:rPr>
        <w:t xml:space="preserve"> o 5,8 %. Úhrada za hospitalizácie v </w:t>
      </w:r>
      <w:proofErr w:type="spellStart"/>
      <w:r w:rsidR="006627FB" w:rsidRPr="00EB6D39">
        <w:rPr>
          <w:rFonts w:ascii="Times New Roman" w:hAnsi="Times New Roman" w:cs="Times New Roman"/>
          <w:sz w:val="24"/>
          <w:szCs w:val="24"/>
        </w:rPr>
        <w:t>non</w:t>
      </w:r>
      <w:proofErr w:type="spellEnd"/>
      <w:r w:rsidR="006627FB" w:rsidRPr="00EB6D39">
        <w:rPr>
          <w:rFonts w:ascii="Times New Roman" w:hAnsi="Times New Roman" w:cs="Times New Roman"/>
          <w:sz w:val="24"/>
          <w:szCs w:val="24"/>
        </w:rPr>
        <w:t xml:space="preserve">-DRG časti medziročne stúpla o 35,8 mil. eur. Cieľom v DRG časti je zvyšovať počet hospitalizácií v operačnom segmente najmä so zameraním na operácie, ktoré majú určenú maximálnu lehotu časovej dostupnosti podľa reformy optimalizácie siete nemocníc, čo má priniesť viac dostupnej zdravotnej starostlivosti, ktorá je pre pacientov najviac dôležitá. Cieľom v </w:t>
      </w:r>
      <w:proofErr w:type="spellStart"/>
      <w:r w:rsidR="006627FB" w:rsidRPr="00EB6D39">
        <w:rPr>
          <w:rFonts w:ascii="Times New Roman" w:hAnsi="Times New Roman" w:cs="Times New Roman"/>
          <w:sz w:val="24"/>
          <w:szCs w:val="24"/>
        </w:rPr>
        <w:t>non</w:t>
      </w:r>
      <w:proofErr w:type="spellEnd"/>
      <w:r w:rsidR="006627FB" w:rsidRPr="00EB6D39">
        <w:rPr>
          <w:rFonts w:ascii="Times New Roman" w:hAnsi="Times New Roman" w:cs="Times New Roman"/>
          <w:sz w:val="24"/>
          <w:szCs w:val="24"/>
        </w:rPr>
        <w:t xml:space="preserve">-DRG časti je, aby došlo k optimalizácii jednotkových nákladov na hospitalizačný prípad, resp. hospitalizáciu. Neoddeliteľnou súčasťou ústavnej zdravotnej starostlivosti je aj ošetrovateľská starostlivosť poskytovaná v špecializovaných zariadeniach na to určených (ako napr. dom ošetrovateľskej starostlivosti alebo zariadenia sociálnych služieb), ktorá je kľúčová pri znižovaní </w:t>
      </w:r>
      <w:proofErr w:type="spellStart"/>
      <w:r w:rsidR="006627FB" w:rsidRPr="00EB6D39">
        <w:rPr>
          <w:rFonts w:ascii="Times New Roman" w:hAnsi="Times New Roman" w:cs="Times New Roman"/>
          <w:sz w:val="24"/>
          <w:szCs w:val="24"/>
        </w:rPr>
        <w:t>rehospitalizácií</w:t>
      </w:r>
      <w:proofErr w:type="spellEnd"/>
      <w:r w:rsidR="006627FB" w:rsidRPr="00EB6D39">
        <w:rPr>
          <w:rFonts w:ascii="Times New Roman" w:hAnsi="Times New Roman" w:cs="Times New Roman"/>
          <w:sz w:val="24"/>
          <w:szCs w:val="24"/>
        </w:rPr>
        <w:t xml:space="preserve"> a zabezpečení kontinuálnej zdravotnej starostlivosti pre pacientov po akútnom liečebnom období. Vzhľadom na starnutie populácie a nárast pacientov s chronickými ochoreniami je nevyhnutné zabezpečiť dostatočné kapacity ošetrovateľskej starostlivosti v rámci nemocničných oddelení následnej a dlhodobej starostlivosti.</w:t>
      </w:r>
    </w:p>
    <w:p w14:paraId="269C1E92" w14:textId="77777777" w:rsidR="00651666" w:rsidRPr="00EB6D39" w:rsidRDefault="00651666" w:rsidP="002E5CA3">
      <w:pPr>
        <w:spacing w:after="0" w:line="240" w:lineRule="auto"/>
        <w:jc w:val="both"/>
        <w:rPr>
          <w:rFonts w:ascii="Times New Roman" w:hAnsi="Times New Roman" w:cs="Times New Roman"/>
          <w:b/>
          <w:bCs/>
          <w:sz w:val="24"/>
          <w:szCs w:val="24"/>
        </w:rPr>
      </w:pPr>
    </w:p>
    <w:p w14:paraId="19038C42" w14:textId="077174D7" w:rsidR="007A6039" w:rsidRPr="00EB6D39" w:rsidRDefault="00AA4A47" w:rsidP="002E5CA3">
      <w:pPr>
        <w:spacing w:after="0" w:line="240" w:lineRule="auto"/>
        <w:jc w:val="both"/>
        <w:rPr>
          <w:rFonts w:ascii="Times New Roman" w:hAnsi="Times New Roman" w:cs="Times New Roman"/>
          <w:sz w:val="24"/>
          <w:szCs w:val="24"/>
        </w:rPr>
      </w:pPr>
      <w:r w:rsidRPr="00EB6D39">
        <w:rPr>
          <w:rFonts w:ascii="Times New Roman" w:hAnsi="Times New Roman" w:cs="Times New Roman"/>
          <w:b/>
          <w:bCs/>
          <w:sz w:val="24"/>
          <w:szCs w:val="24"/>
        </w:rPr>
        <w:t>Všeobecná ambulantná starostlivosť</w:t>
      </w:r>
    </w:p>
    <w:p w14:paraId="46CF26B4" w14:textId="0E0B8400" w:rsidR="00384886" w:rsidRPr="00EB6D39" w:rsidRDefault="00384886"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Aj napriek medziročnému poklesu počtu jedinečných pacientov pri všeobecnej ambulantnej starostlivosti, počet návštev medziročne stúpol o viac ako 203</w:t>
      </w:r>
      <w:r w:rsidR="00EC1760" w:rsidRPr="00EB6D39">
        <w:rPr>
          <w:rFonts w:ascii="Times New Roman" w:hAnsi="Times New Roman" w:cs="Times New Roman"/>
          <w:sz w:val="24"/>
          <w:szCs w:val="24"/>
        </w:rPr>
        <w:t xml:space="preserve">.000. </w:t>
      </w:r>
      <w:r w:rsidRPr="00EB6D39">
        <w:rPr>
          <w:rFonts w:ascii="Times New Roman" w:hAnsi="Times New Roman" w:cs="Times New Roman"/>
          <w:sz w:val="24"/>
          <w:szCs w:val="24"/>
        </w:rPr>
        <w:t xml:space="preserve">V roku 2023 pripadalo na jedného pacienta 6,32 návštevy a v roku 2024 pripadalo na jedného pacienta 6,4 návštevy. </w:t>
      </w:r>
      <w:r w:rsidR="00EC1760" w:rsidRPr="00EB6D39">
        <w:rPr>
          <w:rFonts w:ascii="Times New Roman" w:hAnsi="Times New Roman" w:cs="Times New Roman"/>
          <w:sz w:val="24"/>
          <w:szCs w:val="24"/>
        </w:rPr>
        <w:t xml:space="preserve">Zanedbateľný nárast priemerného počtu návštev na pacienta korešpondoval s nárastom ostatných nákladov nad rámec </w:t>
      </w:r>
      <w:proofErr w:type="spellStart"/>
      <w:r w:rsidR="00EC1760" w:rsidRPr="00EB6D39">
        <w:rPr>
          <w:rFonts w:ascii="Times New Roman" w:hAnsi="Times New Roman" w:cs="Times New Roman"/>
          <w:sz w:val="24"/>
          <w:szCs w:val="24"/>
        </w:rPr>
        <w:t>kapitačných</w:t>
      </w:r>
      <w:proofErr w:type="spellEnd"/>
      <w:r w:rsidR="00EC1760" w:rsidRPr="00EB6D39">
        <w:rPr>
          <w:rFonts w:ascii="Times New Roman" w:hAnsi="Times New Roman" w:cs="Times New Roman"/>
          <w:sz w:val="24"/>
          <w:szCs w:val="24"/>
        </w:rPr>
        <w:t xml:space="preserve"> platieb. </w:t>
      </w:r>
      <w:r w:rsidR="000C5C9A" w:rsidRPr="00EB6D39">
        <w:rPr>
          <w:rFonts w:ascii="Times New Roman" w:hAnsi="Times New Roman" w:cs="Times New Roman"/>
          <w:sz w:val="24"/>
          <w:szCs w:val="24"/>
        </w:rPr>
        <w:t xml:space="preserve">V roku 2023 predstavovali celkové </w:t>
      </w:r>
      <w:r w:rsidR="00144E1E" w:rsidRPr="00EB6D39">
        <w:rPr>
          <w:rFonts w:ascii="Times New Roman" w:hAnsi="Times New Roman" w:cs="Times New Roman"/>
          <w:sz w:val="24"/>
          <w:szCs w:val="24"/>
        </w:rPr>
        <w:t>výdavky</w:t>
      </w:r>
      <w:r w:rsidR="000C5C9A" w:rsidRPr="00EB6D39">
        <w:rPr>
          <w:rFonts w:ascii="Times New Roman" w:hAnsi="Times New Roman" w:cs="Times New Roman"/>
          <w:sz w:val="24"/>
          <w:szCs w:val="24"/>
        </w:rPr>
        <w:t xml:space="preserve"> na pacienta</w:t>
      </w:r>
      <w:r w:rsidR="00E5267D" w:rsidRPr="00EB6D39">
        <w:rPr>
          <w:rFonts w:ascii="Times New Roman" w:hAnsi="Times New Roman" w:cs="Times New Roman"/>
          <w:sz w:val="24"/>
          <w:szCs w:val="24"/>
        </w:rPr>
        <w:t xml:space="preserve"> vrátane </w:t>
      </w:r>
      <w:proofErr w:type="spellStart"/>
      <w:r w:rsidR="00E5267D" w:rsidRPr="00EB6D39">
        <w:rPr>
          <w:rFonts w:ascii="Times New Roman" w:hAnsi="Times New Roman" w:cs="Times New Roman"/>
          <w:sz w:val="24"/>
          <w:szCs w:val="24"/>
        </w:rPr>
        <w:t>kapitačných</w:t>
      </w:r>
      <w:proofErr w:type="spellEnd"/>
      <w:r w:rsidR="00E5267D" w:rsidRPr="00EB6D39">
        <w:rPr>
          <w:rFonts w:ascii="Times New Roman" w:hAnsi="Times New Roman" w:cs="Times New Roman"/>
          <w:sz w:val="24"/>
          <w:szCs w:val="24"/>
        </w:rPr>
        <w:t xml:space="preserve"> platieb</w:t>
      </w:r>
      <w:r w:rsidR="000C5C9A" w:rsidRPr="00EB6D39">
        <w:rPr>
          <w:rFonts w:ascii="Times New Roman" w:hAnsi="Times New Roman" w:cs="Times New Roman"/>
          <w:sz w:val="24"/>
          <w:szCs w:val="24"/>
        </w:rPr>
        <w:t xml:space="preserve"> 104,7 eur a v</w:t>
      </w:r>
      <w:r w:rsidRPr="00EB6D39">
        <w:rPr>
          <w:rFonts w:ascii="Times New Roman" w:hAnsi="Times New Roman" w:cs="Times New Roman"/>
          <w:sz w:val="24"/>
          <w:szCs w:val="24"/>
        </w:rPr>
        <w:t xml:space="preserve"> roku 202</w:t>
      </w:r>
      <w:r w:rsidR="000C5C9A" w:rsidRPr="00EB6D39">
        <w:rPr>
          <w:rFonts w:ascii="Times New Roman" w:hAnsi="Times New Roman" w:cs="Times New Roman"/>
          <w:sz w:val="24"/>
          <w:szCs w:val="24"/>
        </w:rPr>
        <w:t xml:space="preserve">4 sa </w:t>
      </w:r>
      <w:r w:rsidR="00144E1E" w:rsidRPr="00EB6D39">
        <w:rPr>
          <w:rFonts w:ascii="Times New Roman" w:hAnsi="Times New Roman" w:cs="Times New Roman"/>
          <w:sz w:val="24"/>
          <w:szCs w:val="24"/>
        </w:rPr>
        <w:t>výdavky</w:t>
      </w:r>
      <w:r w:rsidR="000C5C9A" w:rsidRPr="00EB6D39">
        <w:rPr>
          <w:rFonts w:ascii="Times New Roman" w:hAnsi="Times New Roman" w:cs="Times New Roman"/>
          <w:sz w:val="24"/>
          <w:szCs w:val="24"/>
        </w:rPr>
        <w:t xml:space="preserve"> na pacienta zvýšili na 114 eur, čo predstavuje 8,9% nárast.</w:t>
      </w:r>
      <w:r w:rsidR="00144E1E" w:rsidRPr="00EB6D39">
        <w:rPr>
          <w:rFonts w:ascii="Times New Roman" w:hAnsi="Times New Roman" w:cs="Times New Roman"/>
          <w:sz w:val="24"/>
          <w:szCs w:val="24"/>
        </w:rPr>
        <w:t xml:space="preserve"> V roku 2025 sa predpokladá medziročný nárast celkových výdavkov o 5,</w:t>
      </w:r>
      <w:r w:rsidR="00331236" w:rsidRPr="00EB6D39">
        <w:rPr>
          <w:rFonts w:ascii="Times New Roman" w:hAnsi="Times New Roman" w:cs="Times New Roman"/>
          <w:sz w:val="24"/>
          <w:szCs w:val="24"/>
        </w:rPr>
        <w:t>2</w:t>
      </w:r>
      <w:r w:rsidR="00144E1E" w:rsidRPr="00EB6D39">
        <w:rPr>
          <w:rFonts w:ascii="Times New Roman" w:hAnsi="Times New Roman" w:cs="Times New Roman"/>
          <w:sz w:val="24"/>
          <w:szCs w:val="24"/>
        </w:rPr>
        <w:t>%</w:t>
      </w:r>
      <w:r w:rsidR="00107209" w:rsidRPr="00EB6D39">
        <w:rPr>
          <w:rFonts w:ascii="Times New Roman" w:hAnsi="Times New Roman" w:cs="Times New Roman"/>
          <w:sz w:val="24"/>
          <w:szCs w:val="24"/>
        </w:rPr>
        <w:t>.</w:t>
      </w:r>
      <w:r w:rsidR="000C5C9A" w:rsidRPr="00EB6D39">
        <w:rPr>
          <w:rFonts w:ascii="Times New Roman" w:hAnsi="Times New Roman" w:cs="Times New Roman"/>
          <w:sz w:val="24"/>
          <w:szCs w:val="24"/>
        </w:rPr>
        <w:t xml:space="preserve"> </w:t>
      </w:r>
    </w:p>
    <w:p w14:paraId="77749667" w14:textId="77777777" w:rsidR="000C5C9A" w:rsidRPr="00EB6D39" w:rsidRDefault="000C5C9A" w:rsidP="002E5CA3">
      <w:pPr>
        <w:spacing w:after="0" w:line="240" w:lineRule="auto"/>
        <w:jc w:val="both"/>
        <w:rPr>
          <w:rFonts w:ascii="Times New Roman" w:hAnsi="Times New Roman" w:cs="Times New Roman"/>
          <w:sz w:val="24"/>
          <w:szCs w:val="24"/>
        </w:rPr>
      </w:pPr>
    </w:p>
    <w:p w14:paraId="12174059" w14:textId="46EBFDE2" w:rsidR="00AA4A47" w:rsidRPr="00EB6D39" w:rsidRDefault="00AA4A47" w:rsidP="00AA4A47">
      <w:pPr>
        <w:spacing w:after="0" w:line="240" w:lineRule="auto"/>
        <w:jc w:val="both"/>
        <w:rPr>
          <w:rFonts w:ascii="Times New Roman" w:hAnsi="Times New Roman" w:cs="Times New Roman"/>
          <w:sz w:val="24"/>
          <w:szCs w:val="24"/>
        </w:rPr>
      </w:pPr>
      <w:r w:rsidRPr="00EB6D39">
        <w:rPr>
          <w:rFonts w:ascii="Times New Roman" w:hAnsi="Times New Roman" w:cs="Times New Roman"/>
          <w:b/>
          <w:bCs/>
          <w:sz w:val="24"/>
          <w:szCs w:val="24"/>
        </w:rPr>
        <w:t>Špecializ</w:t>
      </w:r>
      <w:r w:rsidR="00BD4EBE" w:rsidRPr="00EB6D39">
        <w:rPr>
          <w:rFonts w:ascii="Times New Roman" w:hAnsi="Times New Roman" w:cs="Times New Roman"/>
          <w:b/>
          <w:bCs/>
          <w:sz w:val="24"/>
          <w:szCs w:val="24"/>
        </w:rPr>
        <w:t>ov</w:t>
      </w:r>
      <w:r w:rsidRPr="00EB6D39">
        <w:rPr>
          <w:rFonts w:ascii="Times New Roman" w:hAnsi="Times New Roman" w:cs="Times New Roman"/>
          <w:b/>
          <w:bCs/>
          <w:sz w:val="24"/>
          <w:szCs w:val="24"/>
        </w:rPr>
        <w:t>aná ambulantná starostlivosť</w:t>
      </w:r>
    </w:p>
    <w:p w14:paraId="41ECDDFF" w14:textId="6EA4250F" w:rsidR="006627FB" w:rsidRPr="00EB6D39" w:rsidRDefault="00037F51"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Počet výkonov v špecializovanej ambulantnej starostlivosti medziročne stúpol o 7%. Cieľom v špecializovanej ambulantnej starostlivosti je podpora pilotných 6-10 špecializácií z nového Zoznamu zdravotných výkonov, na ktorého podporu alokujeme v roku 2025 viac ako 5 mil. eur. Nový Zoznam zdravotných výkonov má pacientom priniesť zvýšenie počtu </w:t>
      </w:r>
      <w:proofErr w:type="spellStart"/>
      <w:r w:rsidRPr="00EB6D39">
        <w:rPr>
          <w:rFonts w:ascii="Times New Roman" w:hAnsi="Times New Roman" w:cs="Times New Roman"/>
          <w:sz w:val="24"/>
          <w:szCs w:val="24"/>
        </w:rPr>
        <w:t>prvovyšetrení</w:t>
      </w:r>
      <w:proofErr w:type="spellEnd"/>
      <w:r w:rsidRPr="00EB6D39">
        <w:rPr>
          <w:rFonts w:ascii="Times New Roman" w:hAnsi="Times New Roman" w:cs="Times New Roman"/>
          <w:sz w:val="24"/>
          <w:szCs w:val="24"/>
        </w:rPr>
        <w:t xml:space="preserve"> a teda vyššiu dostupnosť špecializovanej zdravotnej starostlivosti pre nových pacientov.  </w:t>
      </w:r>
      <w:r w:rsidR="006627FB" w:rsidRPr="00EB6D39">
        <w:rPr>
          <w:rFonts w:ascii="Times New Roman" w:hAnsi="Times New Roman" w:cs="Times New Roman"/>
          <w:sz w:val="24"/>
          <w:szCs w:val="24"/>
        </w:rPr>
        <w:t>Dôležitou a neoddeliteľnou súčasťou špecializovanej ambulantnej starostlivosti sú Agentúry domácej ošetrovateľskej starostlivosti a mobilné hospice, ktorých rozvoj je nevyhnutný na zabezpečenie kvalitnej komunitnej starostlivosti. Tento krok je v súlade s Plánom obnovy a odolnosti SR (Komponent 13), ktorý si kladie za cieľ zabezpečiť vysokokvalitnú, dostupnú a komplexnú dlhodobú a paliatívnu starostlivosť.</w:t>
      </w:r>
      <w:r w:rsidR="0045738D" w:rsidRPr="00EB6D39" w:rsidDel="0045738D">
        <w:rPr>
          <w:rFonts w:ascii="Times New Roman" w:hAnsi="Times New Roman" w:cs="Times New Roman"/>
          <w:sz w:val="24"/>
          <w:szCs w:val="24"/>
        </w:rPr>
        <w:t xml:space="preserve"> </w:t>
      </w:r>
    </w:p>
    <w:p w14:paraId="5958E343" w14:textId="77777777" w:rsidR="006627FB" w:rsidRPr="00EB6D39" w:rsidRDefault="006627FB" w:rsidP="00037F51">
      <w:pPr>
        <w:spacing w:after="0" w:line="240" w:lineRule="auto"/>
        <w:jc w:val="both"/>
        <w:rPr>
          <w:rFonts w:ascii="Times New Roman" w:hAnsi="Times New Roman" w:cs="Times New Roman"/>
          <w:sz w:val="24"/>
          <w:szCs w:val="24"/>
        </w:rPr>
      </w:pPr>
    </w:p>
    <w:p w14:paraId="2BC74B74" w14:textId="1131C1E4" w:rsidR="00357D4C" w:rsidRPr="00EB6D39" w:rsidRDefault="00AA4A47" w:rsidP="002E5CA3">
      <w:pPr>
        <w:pStyle w:val="p1"/>
        <w:jc w:val="both"/>
        <w:rPr>
          <w:rFonts w:ascii="Times New Roman" w:hAnsi="Times New Roman"/>
          <w:color w:val="auto"/>
          <w:sz w:val="24"/>
          <w:szCs w:val="24"/>
        </w:rPr>
      </w:pPr>
      <w:r w:rsidRPr="00EB6D39">
        <w:rPr>
          <w:rFonts w:ascii="Times New Roman" w:hAnsi="Times New Roman"/>
          <w:b/>
          <w:bCs/>
          <w:color w:val="auto"/>
          <w:sz w:val="24"/>
          <w:szCs w:val="24"/>
        </w:rPr>
        <w:t>Spoločné vyšetrovacie a liečebné zložky (</w:t>
      </w:r>
      <w:proofErr w:type="spellStart"/>
      <w:r w:rsidRPr="00EB6D39">
        <w:rPr>
          <w:rFonts w:ascii="Times New Roman" w:hAnsi="Times New Roman"/>
          <w:b/>
          <w:bCs/>
          <w:color w:val="auto"/>
          <w:sz w:val="24"/>
          <w:szCs w:val="24"/>
        </w:rPr>
        <w:t>SVaLZ</w:t>
      </w:r>
      <w:proofErr w:type="spellEnd"/>
      <w:r w:rsidRPr="00EB6D39">
        <w:rPr>
          <w:rFonts w:ascii="Times New Roman" w:hAnsi="Times New Roman"/>
          <w:b/>
          <w:bCs/>
          <w:color w:val="auto"/>
          <w:sz w:val="24"/>
          <w:szCs w:val="24"/>
        </w:rPr>
        <w:t xml:space="preserve">) </w:t>
      </w:r>
    </w:p>
    <w:p w14:paraId="7AFFD84C" w14:textId="1649088F" w:rsidR="008B3073" w:rsidRPr="00EB6D39" w:rsidRDefault="00384886" w:rsidP="0043689D">
      <w:pPr>
        <w:pStyle w:val="p1"/>
        <w:ind w:firstLine="708"/>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color w:val="auto"/>
          <w:sz w:val="24"/>
          <w:szCs w:val="24"/>
          <w:lang w:eastAsia="en-US"/>
        </w:rPr>
        <w:t xml:space="preserve">Z údajov za roky 2023 a 2024 je zrejmé, že priemerná cena za bod výkonu sa zmenila minimálne. Rastúce náklady na </w:t>
      </w:r>
      <w:proofErr w:type="spellStart"/>
      <w:r w:rsidRPr="00EB6D39">
        <w:rPr>
          <w:rFonts w:ascii="Times New Roman" w:eastAsiaTheme="minorEastAsia" w:hAnsi="Times New Roman"/>
          <w:color w:val="auto"/>
          <w:sz w:val="24"/>
          <w:szCs w:val="24"/>
          <w:lang w:eastAsia="en-US"/>
        </w:rPr>
        <w:t>SVaLZ</w:t>
      </w:r>
      <w:proofErr w:type="spellEnd"/>
      <w:r w:rsidRPr="00EB6D39">
        <w:rPr>
          <w:rFonts w:ascii="Times New Roman" w:eastAsiaTheme="minorEastAsia" w:hAnsi="Times New Roman"/>
          <w:color w:val="auto"/>
          <w:sz w:val="24"/>
          <w:szCs w:val="24"/>
          <w:lang w:eastAsia="en-US"/>
        </w:rPr>
        <w:t xml:space="preserve"> spôsobuje nárast vykázaných bodov</w:t>
      </w:r>
      <w:r w:rsidR="008129A9" w:rsidRPr="00EB6D39">
        <w:rPr>
          <w:rFonts w:ascii="Times New Roman" w:eastAsiaTheme="minorEastAsia" w:hAnsi="Times New Roman"/>
          <w:color w:val="auto"/>
          <w:sz w:val="24"/>
          <w:szCs w:val="24"/>
          <w:lang w:eastAsia="en-US"/>
        </w:rPr>
        <w:t xml:space="preserve">, ktoré medziročne </w:t>
      </w:r>
      <w:r w:rsidR="008129A9" w:rsidRPr="00EB6D39">
        <w:rPr>
          <w:rFonts w:ascii="Times New Roman" w:eastAsiaTheme="minorEastAsia" w:hAnsi="Times New Roman"/>
          <w:color w:val="auto"/>
          <w:sz w:val="24"/>
          <w:szCs w:val="24"/>
          <w:lang w:eastAsia="en-US"/>
        </w:rPr>
        <w:lastRenderedPageBreak/>
        <w:t>narástli o 5,27% a celková úhrada vzrástla o 5,72%</w:t>
      </w:r>
      <w:r w:rsidRPr="00EB6D39">
        <w:rPr>
          <w:rFonts w:ascii="Times New Roman" w:eastAsiaTheme="minorEastAsia" w:hAnsi="Times New Roman"/>
          <w:color w:val="auto"/>
          <w:sz w:val="24"/>
          <w:szCs w:val="24"/>
          <w:lang w:eastAsia="en-US"/>
        </w:rPr>
        <w:t>.</w:t>
      </w:r>
      <w:r w:rsidR="00DC4238" w:rsidRPr="00EB6D39">
        <w:rPr>
          <w:rFonts w:ascii="Times New Roman" w:eastAsiaTheme="minorEastAsia" w:hAnsi="Times New Roman"/>
          <w:color w:val="auto"/>
          <w:sz w:val="24"/>
          <w:szCs w:val="24"/>
          <w:lang w:eastAsia="en-US"/>
        </w:rPr>
        <w:t xml:space="preserve"> Hlavnými dôvodmi </w:t>
      </w:r>
      <w:r w:rsidRPr="00EB6D39">
        <w:rPr>
          <w:rFonts w:ascii="Times New Roman" w:eastAsiaTheme="minorHAnsi" w:hAnsi="Times New Roman"/>
          <w:color w:val="auto"/>
          <w:sz w:val="24"/>
          <w:szCs w:val="24"/>
          <w:lang w:eastAsia="en-US"/>
        </w:rPr>
        <w:t>nárastu výkonov a</w:t>
      </w:r>
      <w:r w:rsidR="00DC4238" w:rsidRPr="00EB6D39">
        <w:rPr>
          <w:rFonts w:ascii="Times New Roman" w:eastAsiaTheme="minorHAnsi" w:hAnsi="Times New Roman"/>
          <w:color w:val="auto"/>
          <w:sz w:val="24"/>
          <w:szCs w:val="24"/>
          <w:lang w:eastAsia="en-US"/>
        </w:rPr>
        <w:t> </w:t>
      </w:r>
      <w:r w:rsidRPr="00EB6D39">
        <w:rPr>
          <w:rFonts w:ascii="Times New Roman" w:eastAsiaTheme="minorHAnsi" w:hAnsi="Times New Roman"/>
          <w:color w:val="auto"/>
          <w:sz w:val="24"/>
          <w:szCs w:val="24"/>
          <w:lang w:eastAsia="en-US"/>
        </w:rPr>
        <w:t>úhrad</w:t>
      </w:r>
      <w:r w:rsidR="00DC4238" w:rsidRPr="00EB6D39">
        <w:rPr>
          <w:rFonts w:ascii="Times New Roman" w:eastAsiaTheme="minorHAnsi" w:hAnsi="Times New Roman"/>
          <w:color w:val="auto"/>
          <w:sz w:val="24"/>
          <w:szCs w:val="24"/>
          <w:lang w:eastAsia="en-US"/>
        </w:rPr>
        <w:t xml:space="preserve"> sú </w:t>
      </w:r>
      <w:r w:rsidRPr="00EB6D39">
        <w:rPr>
          <w:rFonts w:ascii="Times New Roman" w:eastAsiaTheme="minorHAnsi" w:hAnsi="Times New Roman"/>
          <w:color w:val="auto"/>
          <w:sz w:val="24"/>
          <w:szCs w:val="24"/>
          <w:lang w:eastAsia="en-US"/>
        </w:rPr>
        <w:t>vyšší počet diagnostických</w:t>
      </w:r>
      <w:r w:rsidR="00DC4238" w:rsidRPr="00EB6D39">
        <w:rPr>
          <w:rFonts w:ascii="Times New Roman" w:eastAsiaTheme="minorHAnsi" w:hAnsi="Times New Roman"/>
          <w:color w:val="auto"/>
          <w:sz w:val="24"/>
          <w:szCs w:val="24"/>
          <w:lang w:eastAsia="en-US"/>
        </w:rPr>
        <w:t xml:space="preserve"> </w:t>
      </w:r>
      <w:r w:rsidRPr="00EB6D39">
        <w:rPr>
          <w:rFonts w:ascii="Times New Roman" w:eastAsiaTheme="minorHAnsi" w:hAnsi="Times New Roman"/>
          <w:color w:val="auto"/>
          <w:sz w:val="24"/>
          <w:szCs w:val="24"/>
          <w:lang w:eastAsia="en-US"/>
        </w:rPr>
        <w:t>a terapeutických výkonov, rast dopytu po laboratórnych, zobrazovacích (CT, MR, RTG)</w:t>
      </w:r>
      <w:r w:rsidR="00DC4238" w:rsidRPr="00EB6D39">
        <w:rPr>
          <w:rFonts w:ascii="Times New Roman" w:eastAsiaTheme="minorHAnsi" w:hAnsi="Times New Roman"/>
          <w:color w:val="auto"/>
          <w:sz w:val="24"/>
          <w:szCs w:val="24"/>
          <w:lang w:eastAsia="en-US"/>
        </w:rPr>
        <w:t xml:space="preserve"> </w:t>
      </w:r>
      <w:r w:rsidRPr="00EB6D39">
        <w:rPr>
          <w:rFonts w:ascii="Times New Roman" w:eastAsiaTheme="minorHAnsi" w:hAnsi="Times New Roman"/>
          <w:color w:val="auto"/>
          <w:sz w:val="24"/>
          <w:szCs w:val="24"/>
          <w:lang w:eastAsia="en-US"/>
        </w:rPr>
        <w:t xml:space="preserve">a </w:t>
      </w:r>
      <w:proofErr w:type="spellStart"/>
      <w:r w:rsidRPr="00EB6D39">
        <w:rPr>
          <w:rFonts w:ascii="Times New Roman" w:eastAsiaTheme="minorHAnsi" w:hAnsi="Times New Roman"/>
          <w:color w:val="auto"/>
          <w:sz w:val="24"/>
          <w:szCs w:val="24"/>
          <w:lang w:eastAsia="en-US"/>
        </w:rPr>
        <w:t>endoskopických</w:t>
      </w:r>
      <w:proofErr w:type="spellEnd"/>
      <w:r w:rsidRPr="00EB6D39">
        <w:rPr>
          <w:rFonts w:ascii="Times New Roman" w:eastAsiaTheme="minorHAnsi" w:hAnsi="Times New Roman"/>
          <w:color w:val="auto"/>
          <w:sz w:val="24"/>
          <w:szCs w:val="24"/>
          <w:lang w:eastAsia="en-US"/>
        </w:rPr>
        <w:t xml:space="preserve"> vyšetreniach</w:t>
      </w:r>
      <w:r w:rsidR="00DC4238" w:rsidRPr="00EB6D39">
        <w:rPr>
          <w:rFonts w:ascii="Times New Roman" w:eastAsiaTheme="minorHAnsi" w:hAnsi="Times New Roman"/>
          <w:color w:val="auto"/>
          <w:sz w:val="24"/>
          <w:szCs w:val="24"/>
          <w:lang w:eastAsia="en-US"/>
        </w:rPr>
        <w:t>,</w:t>
      </w:r>
      <w:r w:rsidRPr="00EB6D39">
        <w:rPr>
          <w:rFonts w:ascii="Times New Roman" w:eastAsiaTheme="minorHAnsi" w:hAnsi="Times New Roman"/>
          <w:color w:val="auto"/>
          <w:sz w:val="24"/>
          <w:szCs w:val="24"/>
          <w:lang w:eastAsia="en-US"/>
        </w:rPr>
        <w:t xml:space="preserve"> nárast preventívnych </w:t>
      </w:r>
      <w:r w:rsidR="00DC4238" w:rsidRPr="00EB6D39">
        <w:rPr>
          <w:rFonts w:ascii="Times New Roman" w:eastAsiaTheme="minorHAnsi" w:hAnsi="Times New Roman"/>
          <w:color w:val="auto"/>
          <w:sz w:val="24"/>
          <w:szCs w:val="24"/>
          <w:lang w:eastAsia="en-US"/>
        </w:rPr>
        <w:t xml:space="preserve">vyšetrení a rehabilitačných výkonov </w:t>
      </w:r>
      <w:r w:rsidRPr="00EB6D39">
        <w:rPr>
          <w:rFonts w:ascii="Times New Roman" w:eastAsiaTheme="minorHAnsi" w:hAnsi="Times New Roman"/>
          <w:color w:val="auto"/>
          <w:sz w:val="24"/>
          <w:szCs w:val="24"/>
          <w:lang w:eastAsia="en-US"/>
        </w:rPr>
        <w:t>a starnutie populácie, čo vedie k vyššej potrebe diagnostiky a liečby chronických ochorení.</w:t>
      </w:r>
      <w:r w:rsidR="00DC4238" w:rsidRPr="00EB6D39">
        <w:rPr>
          <w:rFonts w:ascii="Times New Roman" w:eastAsiaTheme="minorHAnsi" w:hAnsi="Times New Roman"/>
          <w:color w:val="auto"/>
          <w:sz w:val="24"/>
          <w:szCs w:val="24"/>
          <w:lang w:eastAsia="en-US"/>
        </w:rPr>
        <w:t xml:space="preserve"> </w:t>
      </w:r>
      <w:r w:rsidR="00DC4238" w:rsidRPr="00EB6D39">
        <w:rPr>
          <w:rFonts w:ascii="Times New Roman" w:hAnsi="Times New Roman"/>
          <w:color w:val="auto"/>
          <w:sz w:val="24"/>
          <w:szCs w:val="24"/>
        </w:rPr>
        <w:t>V roku 2025 sa predpokladá medziročný nárast celkových výdavkov o 5,1</w:t>
      </w:r>
      <w:r w:rsidR="00E53FC8">
        <w:rPr>
          <w:rFonts w:ascii="Times New Roman" w:hAnsi="Times New Roman"/>
          <w:color w:val="auto"/>
          <w:sz w:val="24"/>
          <w:szCs w:val="24"/>
        </w:rPr>
        <w:t>8</w:t>
      </w:r>
      <w:r w:rsidR="00DC4238" w:rsidRPr="00EB6D39">
        <w:rPr>
          <w:rFonts w:ascii="Times New Roman" w:hAnsi="Times New Roman"/>
          <w:color w:val="auto"/>
          <w:sz w:val="24"/>
          <w:szCs w:val="24"/>
        </w:rPr>
        <w:t>%.</w:t>
      </w:r>
      <w:r w:rsidR="0045738D" w:rsidRPr="00EB6D39">
        <w:rPr>
          <w:rFonts w:ascii="Times New Roman" w:hAnsi="Times New Roman"/>
          <w:color w:val="auto"/>
          <w:sz w:val="24"/>
          <w:szCs w:val="24"/>
        </w:rPr>
        <w:t xml:space="preserve"> Je potrebné spomenúť, že súčasťou segmentu </w:t>
      </w:r>
      <w:r w:rsidR="00705C82" w:rsidRPr="00EB6D39">
        <w:rPr>
          <w:rFonts w:ascii="Times New Roman" w:eastAsiaTheme="minorEastAsia" w:hAnsi="Times New Roman"/>
          <w:color w:val="auto"/>
          <w:sz w:val="24"/>
          <w:szCs w:val="24"/>
        </w:rPr>
        <w:t xml:space="preserve">spoločné vyšetrovacie a liečebné zložky sú spolu s výkonmi laboratórnej diagnostiky a s výkonmi zobrazovacích metód zaradené aj výkony </w:t>
      </w:r>
      <w:proofErr w:type="spellStart"/>
      <w:r w:rsidR="00705C82" w:rsidRPr="00EB6D39">
        <w:rPr>
          <w:rFonts w:ascii="Times New Roman" w:eastAsiaTheme="minorEastAsia" w:hAnsi="Times New Roman"/>
          <w:color w:val="auto"/>
          <w:sz w:val="24"/>
          <w:szCs w:val="24"/>
        </w:rPr>
        <w:t>SVaLZ</w:t>
      </w:r>
      <w:proofErr w:type="spellEnd"/>
      <w:r w:rsidR="00705C82" w:rsidRPr="00EB6D39">
        <w:rPr>
          <w:rFonts w:ascii="Times New Roman" w:eastAsiaTheme="minorEastAsia" w:hAnsi="Times New Roman"/>
          <w:color w:val="auto"/>
          <w:sz w:val="24"/>
          <w:szCs w:val="24"/>
        </w:rPr>
        <w:t xml:space="preserve"> vo FBLR, </w:t>
      </w:r>
      <w:r w:rsidR="008B3073" w:rsidRPr="00EB6D39">
        <w:rPr>
          <w:rFonts w:ascii="Times New Roman" w:eastAsiaTheme="minorEastAsia" w:hAnsi="Times New Roman"/>
          <w:color w:val="auto"/>
          <w:sz w:val="24"/>
          <w:szCs w:val="24"/>
        </w:rPr>
        <w:t xml:space="preserve">pre ktorých financovanie platia rovnaké podmienky, ako pre </w:t>
      </w:r>
      <w:r w:rsidR="008B3073" w:rsidRPr="00EB6D39">
        <w:rPr>
          <w:rFonts w:ascii="Times New Roman" w:eastAsiaTheme="minorEastAsia" w:hAnsi="Times New Roman"/>
          <w:color w:val="auto"/>
          <w:sz w:val="24"/>
          <w:szCs w:val="24"/>
          <w:lang w:eastAsia="en-US"/>
        </w:rPr>
        <w:t>ostatné</w:t>
      </w:r>
      <w:r w:rsidR="008B3073" w:rsidRPr="00EB6D39">
        <w:rPr>
          <w:rFonts w:ascii="Times New Roman" w:eastAsiaTheme="minorEastAsia" w:hAnsi="Times New Roman"/>
          <w:color w:val="auto"/>
          <w:sz w:val="24"/>
          <w:szCs w:val="24"/>
        </w:rPr>
        <w:t xml:space="preserve"> zložky.</w:t>
      </w:r>
      <w:r w:rsidR="008B3073" w:rsidRPr="00EB6D39">
        <w:rPr>
          <w:rFonts w:ascii="Times New Roman" w:eastAsiaTheme="minorEastAsia" w:hAnsi="Times New Roman"/>
          <w:b/>
          <w:bCs/>
          <w:color w:val="auto"/>
          <w:sz w:val="24"/>
          <w:szCs w:val="24"/>
          <w:lang w:eastAsia="en-US"/>
        </w:rPr>
        <w:t xml:space="preserve"> </w:t>
      </w:r>
    </w:p>
    <w:p w14:paraId="552309A3" w14:textId="77777777" w:rsidR="00705C82" w:rsidRPr="00EB6D39" w:rsidRDefault="00705C82" w:rsidP="002E5CA3">
      <w:pPr>
        <w:pStyle w:val="p1"/>
        <w:jc w:val="both"/>
        <w:rPr>
          <w:rFonts w:ascii="Times New Roman" w:eastAsiaTheme="minorEastAsia" w:hAnsi="Times New Roman"/>
          <w:b/>
          <w:bCs/>
          <w:color w:val="auto"/>
          <w:sz w:val="24"/>
          <w:szCs w:val="24"/>
          <w:lang w:eastAsia="en-US"/>
        </w:rPr>
      </w:pPr>
    </w:p>
    <w:p w14:paraId="57585C24" w14:textId="1E7FBF02" w:rsidR="003905B0" w:rsidRPr="00EB6D39" w:rsidRDefault="00AA4A47" w:rsidP="002E5CA3">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b/>
          <w:bCs/>
          <w:color w:val="auto"/>
          <w:sz w:val="24"/>
          <w:szCs w:val="24"/>
          <w:lang w:eastAsia="en-US"/>
        </w:rPr>
        <w:t xml:space="preserve">Ambulantná pohotovostná služba </w:t>
      </w:r>
      <w:r w:rsidR="00DC4238" w:rsidRPr="00EB6D39">
        <w:rPr>
          <w:rFonts w:ascii="Times New Roman" w:eastAsiaTheme="minorEastAsia" w:hAnsi="Times New Roman"/>
          <w:b/>
          <w:bCs/>
          <w:color w:val="auto"/>
          <w:sz w:val="24"/>
          <w:szCs w:val="24"/>
          <w:lang w:eastAsia="en-US"/>
        </w:rPr>
        <w:t>(APS)</w:t>
      </w:r>
    </w:p>
    <w:p w14:paraId="1AF096F4" w14:textId="52245832" w:rsidR="00384886" w:rsidRPr="00EB6D39" w:rsidRDefault="00384886" w:rsidP="0043689D">
      <w:pPr>
        <w:pStyle w:val="p1"/>
        <w:ind w:firstLine="708"/>
        <w:jc w:val="both"/>
        <w:rPr>
          <w:rFonts w:ascii="Times New Roman" w:hAnsi="Times New Roman"/>
          <w:color w:val="auto"/>
          <w:sz w:val="24"/>
          <w:szCs w:val="24"/>
        </w:rPr>
      </w:pPr>
      <w:r w:rsidRPr="00EB6D39">
        <w:rPr>
          <w:rFonts w:ascii="Times New Roman" w:eastAsiaTheme="minorEastAsia" w:hAnsi="Times New Roman"/>
          <w:color w:val="auto"/>
          <w:sz w:val="24"/>
          <w:szCs w:val="24"/>
          <w:lang w:eastAsia="en-US"/>
        </w:rPr>
        <w:t xml:space="preserve">V roku 2024 došlo k miernemu nárastu počtu bodov o 0,18 %, ale úhrady paradoxne klesli o 2,3 %. </w:t>
      </w:r>
      <w:r w:rsidR="00107209" w:rsidRPr="00EB6D39">
        <w:rPr>
          <w:rFonts w:ascii="Times New Roman" w:eastAsiaTheme="minorEastAsia" w:hAnsi="Times New Roman"/>
          <w:color w:val="auto"/>
          <w:sz w:val="24"/>
          <w:szCs w:val="24"/>
          <w:lang w:eastAsia="en-US"/>
        </w:rPr>
        <w:t>V roku 2023 aj v roku 2024 došlo k zrušeniu niektorých APS</w:t>
      </w:r>
      <w:r w:rsidR="00DC4238" w:rsidRPr="00EB6D39">
        <w:rPr>
          <w:rFonts w:ascii="Times New Roman" w:eastAsiaTheme="minorEastAsia" w:hAnsi="Times New Roman"/>
          <w:color w:val="auto"/>
          <w:sz w:val="24"/>
          <w:szCs w:val="24"/>
          <w:lang w:eastAsia="en-US"/>
        </w:rPr>
        <w:t xml:space="preserve"> </w:t>
      </w:r>
      <w:r w:rsidR="00107209" w:rsidRPr="00EB6D39">
        <w:rPr>
          <w:rFonts w:ascii="Times New Roman" w:eastAsiaTheme="minorEastAsia" w:hAnsi="Times New Roman"/>
          <w:color w:val="auto"/>
          <w:sz w:val="24"/>
          <w:szCs w:val="24"/>
          <w:lang w:eastAsia="en-US"/>
        </w:rPr>
        <w:t xml:space="preserve">a k zníženiu počtu ordinačných hodín, </w:t>
      </w:r>
      <w:r w:rsidR="00DC4238" w:rsidRPr="00EB6D39">
        <w:rPr>
          <w:rFonts w:ascii="Times New Roman" w:eastAsiaTheme="minorEastAsia" w:hAnsi="Times New Roman"/>
          <w:color w:val="auto"/>
          <w:sz w:val="24"/>
          <w:szCs w:val="24"/>
          <w:lang w:eastAsia="en-US"/>
        </w:rPr>
        <w:t>čo sa však nedotklo celkových úhrad, nakoľko ide o regulovaný segment</w:t>
      </w:r>
      <w:r w:rsidR="00107209" w:rsidRPr="00EB6D39">
        <w:rPr>
          <w:rFonts w:ascii="Times New Roman" w:eastAsiaTheme="minorEastAsia" w:hAnsi="Times New Roman"/>
          <w:color w:val="auto"/>
          <w:sz w:val="24"/>
          <w:szCs w:val="24"/>
          <w:lang w:eastAsia="en-US"/>
        </w:rPr>
        <w:t>.</w:t>
      </w:r>
      <w:r w:rsidR="00DC4238" w:rsidRPr="00EB6D39">
        <w:rPr>
          <w:rFonts w:ascii="Times New Roman" w:eastAsiaTheme="minorEastAsia" w:hAnsi="Times New Roman"/>
          <w:color w:val="auto"/>
          <w:sz w:val="24"/>
          <w:szCs w:val="24"/>
          <w:lang w:eastAsia="en-US"/>
        </w:rPr>
        <w:t xml:space="preserve"> </w:t>
      </w:r>
      <w:r w:rsidR="00107209" w:rsidRPr="00EB6D39">
        <w:rPr>
          <w:rFonts w:ascii="Times New Roman" w:eastAsiaTheme="minorEastAsia" w:hAnsi="Times New Roman"/>
          <w:color w:val="auto"/>
          <w:sz w:val="24"/>
          <w:szCs w:val="24"/>
          <w:lang w:eastAsia="en-US"/>
        </w:rPr>
        <w:t xml:space="preserve"> </w:t>
      </w:r>
    </w:p>
    <w:p w14:paraId="1ADBD201" w14:textId="77777777" w:rsidR="00384886" w:rsidRPr="00EB6D39" w:rsidRDefault="00384886" w:rsidP="002E5CA3">
      <w:pPr>
        <w:pStyle w:val="p1"/>
        <w:jc w:val="both"/>
        <w:rPr>
          <w:rFonts w:ascii="Times New Roman" w:hAnsi="Times New Roman"/>
          <w:color w:val="auto"/>
          <w:sz w:val="24"/>
          <w:szCs w:val="24"/>
        </w:rPr>
      </w:pPr>
    </w:p>
    <w:p w14:paraId="1B8A1CF3" w14:textId="01D68215" w:rsidR="003905B0" w:rsidRPr="00EB6D39" w:rsidRDefault="00AA4A47" w:rsidP="002E5CA3">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b/>
          <w:bCs/>
          <w:color w:val="auto"/>
          <w:sz w:val="24"/>
          <w:szCs w:val="24"/>
          <w:lang w:eastAsia="en-US"/>
        </w:rPr>
        <w:t>Záchranná zdravotná služba</w:t>
      </w:r>
      <w:r w:rsidR="00DC4238" w:rsidRPr="00EB6D39">
        <w:rPr>
          <w:rFonts w:ascii="Times New Roman" w:eastAsiaTheme="minorEastAsia" w:hAnsi="Times New Roman"/>
          <w:b/>
          <w:bCs/>
          <w:color w:val="auto"/>
          <w:sz w:val="24"/>
          <w:szCs w:val="24"/>
          <w:lang w:eastAsia="en-US"/>
        </w:rPr>
        <w:t xml:space="preserve"> (ZZS)</w:t>
      </w:r>
    </w:p>
    <w:p w14:paraId="0F920245" w14:textId="73D3B315" w:rsidR="00384886" w:rsidRPr="00EB6D39" w:rsidRDefault="00384886" w:rsidP="0043689D">
      <w:pPr>
        <w:pStyle w:val="p1"/>
        <w:ind w:firstLine="708"/>
        <w:jc w:val="both"/>
        <w:rPr>
          <w:rFonts w:ascii="Times New Roman" w:eastAsiaTheme="minorHAnsi" w:hAnsi="Times New Roman"/>
          <w:b/>
          <w:bCs/>
          <w:color w:val="auto"/>
          <w:sz w:val="24"/>
          <w:szCs w:val="24"/>
          <w:lang w:eastAsia="en-US"/>
        </w:rPr>
      </w:pPr>
      <w:r w:rsidRPr="00EB6D39">
        <w:rPr>
          <w:rFonts w:ascii="Times New Roman" w:eastAsiaTheme="minorEastAsia" w:hAnsi="Times New Roman"/>
          <w:color w:val="auto"/>
          <w:sz w:val="24"/>
          <w:szCs w:val="24"/>
          <w:lang w:eastAsia="en-US"/>
        </w:rPr>
        <w:t xml:space="preserve">Z údajov vyplýva, že v roku 2024 sa </w:t>
      </w:r>
      <w:r w:rsidR="003B6833" w:rsidRPr="00EB6D39">
        <w:rPr>
          <w:rFonts w:ascii="Times New Roman" w:eastAsiaTheme="minorEastAsia" w:hAnsi="Times New Roman"/>
          <w:color w:val="auto"/>
          <w:sz w:val="24"/>
          <w:szCs w:val="24"/>
          <w:lang w:eastAsia="en-US"/>
        </w:rPr>
        <w:t xml:space="preserve">medziročne </w:t>
      </w:r>
      <w:r w:rsidRPr="00EB6D39">
        <w:rPr>
          <w:rFonts w:ascii="Times New Roman" w:eastAsiaTheme="minorEastAsia" w:hAnsi="Times New Roman"/>
          <w:color w:val="auto"/>
          <w:sz w:val="24"/>
          <w:szCs w:val="24"/>
          <w:lang w:eastAsia="en-US"/>
        </w:rPr>
        <w:t xml:space="preserve">zvýšil počet výjazdov ZZS o 2,03 % a zároveň vzrástla aj celková úhrada za tieto služby o 4,35 %. </w:t>
      </w:r>
      <w:r w:rsidR="003B6833" w:rsidRPr="00EB6D39">
        <w:rPr>
          <w:rFonts w:ascii="Times New Roman" w:eastAsiaTheme="minorEastAsia" w:hAnsi="Times New Roman"/>
          <w:color w:val="auto"/>
          <w:sz w:val="24"/>
          <w:szCs w:val="24"/>
          <w:lang w:eastAsia="en-US"/>
        </w:rPr>
        <w:t>Medziročný n</w:t>
      </w:r>
      <w:r w:rsidR="00DC4238" w:rsidRPr="00EB6D39">
        <w:rPr>
          <w:rFonts w:ascii="Times New Roman" w:eastAsiaTheme="minorEastAsia" w:hAnsi="Times New Roman"/>
          <w:color w:val="auto"/>
          <w:sz w:val="24"/>
          <w:szCs w:val="24"/>
          <w:lang w:eastAsia="en-US"/>
        </w:rPr>
        <w:t xml:space="preserve">árast úhrad za výkony ZZS </w:t>
      </w:r>
      <w:r w:rsidR="003B6833" w:rsidRPr="00EB6D39">
        <w:rPr>
          <w:rFonts w:ascii="Times New Roman" w:eastAsiaTheme="minorEastAsia" w:hAnsi="Times New Roman"/>
          <w:color w:val="auto"/>
          <w:sz w:val="24"/>
          <w:szCs w:val="24"/>
          <w:lang w:eastAsia="en-US"/>
        </w:rPr>
        <w:t>je</w:t>
      </w:r>
      <w:r w:rsidR="00DC4238" w:rsidRPr="00EB6D39">
        <w:rPr>
          <w:rFonts w:ascii="Times New Roman" w:eastAsiaTheme="minorEastAsia" w:hAnsi="Times New Roman"/>
          <w:color w:val="auto"/>
          <w:sz w:val="24"/>
          <w:szCs w:val="24"/>
          <w:lang w:eastAsia="en-US"/>
        </w:rPr>
        <w:t xml:space="preserve"> spôsobený </w:t>
      </w:r>
      <w:r w:rsidR="003B6833" w:rsidRPr="00EB6D39">
        <w:rPr>
          <w:rFonts w:ascii="Times New Roman" w:eastAsiaTheme="minorEastAsia" w:hAnsi="Times New Roman"/>
          <w:color w:val="auto"/>
          <w:sz w:val="24"/>
          <w:szCs w:val="24"/>
          <w:lang w:eastAsia="en-US"/>
        </w:rPr>
        <w:t xml:space="preserve">rastom platov zdravotníckych pracovníkov, zvyšovaním prevádzkových nákladov a </w:t>
      </w:r>
      <w:r w:rsidRPr="00EB6D39">
        <w:rPr>
          <w:rFonts w:ascii="Times New Roman" w:eastAsiaTheme="minorHAnsi" w:hAnsi="Times New Roman"/>
          <w:color w:val="auto"/>
          <w:sz w:val="24"/>
          <w:szCs w:val="24"/>
          <w:lang w:eastAsia="en-US"/>
        </w:rPr>
        <w:t>nárast</w:t>
      </w:r>
      <w:r w:rsidR="003B6833" w:rsidRPr="00EB6D39">
        <w:rPr>
          <w:rFonts w:ascii="Times New Roman" w:eastAsiaTheme="minorHAnsi" w:hAnsi="Times New Roman"/>
          <w:color w:val="auto"/>
          <w:sz w:val="24"/>
          <w:szCs w:val="24"/>
          <w:lang w:eastAsia="en-US"/>
        </w:rPr>
        <w:t>om</w:t>
      </w:r>
      <w:r w:rsidRPr="00EB6D39">
        <w:rPr>
          <w:rFonts w:ascii="Times New Roman" w:eastAsiaTheme="minorHAnsi" w:hAnsi="Times New Roman"/>
          <w:color w:val="auto"/>
          <w:sz w:val="24"/>
          <w:szCs w:val="24"/>
          <w:lang w:eastAsia="en-US"/>
        </w:rPr>
        <w:t xml:space="preserve"> cien liekov a zdravotníckeho materiálu používaného pri výjazdoch</w:t>
      </w:r>
      <w:r w:rsidR="003B6833" w:rsidRPr="00EB6D39">
        <w:rPr>
          <w:rFonts w:ascii="Times New Roman" w:eastAsiaTheme="minorHAnsi" w:hAnsi="Times New Roman"/>
          <w:color w:val="auto"/>
          <w:sz w:val="24"/>
          <w:szCs w:val="24"/>
          <w:lang w:eastAsia="en-US"/>
        </w:rPr>
        <w:t>, ktoré sú každoročne premietnuté do paušálnych platieb, nakoľko ide o regulovaný segment.</w:t>
      </w:r>
    </w:p>
    <w:p w14:paraId="6F6DC55D" w14:textId="77777777" w:rsidR="00384886" w:rsidRPr="00EB6D39" w:rsidRDefault="00384886" w:rsidP="002E5CA3">
      <w:pPr>
        <w:pStyle w:val="p1"/>
        <w:jc w:val="both"/>
        <w:rPr>
          <w:rFonts w:ascii="Times New Roman" w:eastAsiaTheme="minorHAnsi" w:hAnsi="Times New Roman"/>
          <w:b/>
          <w:bCs/>
          <w:color w:val="auto"/>
          <w:sz w:val="24"/>
          <w:szCs w:val="24"/>
          <w:lang w:eastAsia="en-US"/>
        </w:rPr>
      </w:pPr>
    </w:p>
    <w:p w14:paraId="4209302A" w14:textId="17606522" w:rsidR="003905B0" w:rsidRPr="00EB6D39" w:rsidRDefault="00AA4A47" w:rsidP="00AA4A47">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b/>
          <w:bCs/>
          <w:color w:val="auto"/>
          <w:sz w:val="24"/>
          <w:szCs w:val="24"/>
          <w:lang w:eastAsia="en-US"/>
        </w:rPr>
        <w:t>Kúpeľná starostlivosť</w:t>
      </w:r>
      <w:r w:rsidR="00384886" w:rsidRPr="00EB6D39">
        <w:rPr>
          <w:rFonts w:ascii="Times New Roman" w:eastAsiaTheme="minorEastAsia" w:hAnsi="Times New Roman"/>
          <w:color w:val="auto"/>
          <w:sz w:val="24"/>
          <w:szCs w:val="24"/>
          <w:lang w:eastAsia="en-US"/>
        </w:rPr>
        <w:t xml:space="preserve"> </w:t>
      </w:r>
    </w:p>
    <w:p w14:paraId="6BB9FC6A" w14:textId="1C85548C" w:rsidR="00384886" w:rsidRPr="00EB6D39" w:rsidRDefault="00384886"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V roku 2024 došlo k miernemu nárastu počtu hospitalizácií v kúpeľnej starostlivosti </w:t>
      </w:r>
      <w:r w:rsidR="002713AE" w:rsidRPr="00EB6D39">
        <w:rPr>
          <w:rFonts w:ascii="Times New Roman" w:eastAsiaTheme="minorEastAsia" w:hAnsi="Times New Roman"/>
          <w:color w:val="auto"/>
          <w:sz w:val="24"/>
          <w:szCs w:val="24"/>
          <w:lang w:eastAsia="en-US"/>
        </w:rPr>
        <w:t xml:space="preserve">o </w:t>
      </w:r>
      <w:r w:rsidRPr="00EB6D39">
        <w:rPr>
          <w:rFonts w:ascii="Times New Roman" w:eastAsiaTheme="minorEastAsia" w:hAnsi="Times New Roman"/>
          <w:color w:val="auto"/>
          <w:sz w:val="24"/>
          <w:szCs w:val="24"/>
          <w:lang w:eastAsia="en-US"/>
        </w:rPr>
        <w:t>1,3</w:t>
      </w:r>
      <w:r w:rsidR="002713AE" w:rsidRPr="00EB6D39">
        <w:rPr>
          <w:rFonts w:ascii="Times New Roman" w:eastAsiaTheme="minorEastAsia" w:hAnsi="Times New Roman"/>
          <w:color w:val="auto"/>
          <w:sz w:val="24"/>
          <w:szCs w:val="24"/>
          <w:lang w:eastAsia="en-US"/>
        </w:rPr>
        <w:t xml:space="preserve"> </w:t>
      </w:r>
      <w:r w:rsidRPr="00EB6D39">
        <w:rPr>
          <w:rFonts w:ascii="Times New Roman" w:eastAsiaTheme="minorEastAsia" w:hAnsi="Times New Roman"/>
          <w:color w:val="auto"/>
          <w:sz w:val="24"/>
          <w:szCs w:val="24"/>
          <w:lang w:eastAsia="en-US"/>
        </w:rPr>
        <w:t>% a</w:t>
      </w:r>
      <w:r w:rsidR="002713AE" w:rsidRPr="00EB6D39">
        <w:rPr>
          <w:rFonts w:ascii="Times New Roman" w:eastAsiaTheme="minorEastAsia" w:hAnsi="Times New Roman"/>
          <w:color w:val="auto"/>
          <w:sz w:val="24"/>
          <w:szCs w:val="24"/>
          <w:lang w:eastAsia="en-US"/>
        </w:rPr>
        <w:t xml:space="preserve"> k </w:t>
      </w:r>
      <w:r w:rsidRPr="00EB6D39">
        <w:rPr>
          <w:rFonts w:ascii="Times New Roman" w:eastAsiaTheme="minorEastAsia" w:hAnsi="Times New Roman"/>
          <w:color w:val="auto"/>
          <w:sz w:val="24"/>
          <w:szCs w:val="24"/>
          <w:lang w:eastAsia="en-US"/>
        </w:rPr>
        <w:t xml:space="preserve">zvýšeniu počtu </w:t>
      </w:r>
      <w:proofErr w:type="spellStart"/>
      <w:r w:rsidRPr="00EB6D39">
        <w:rPr>
          <w:rFonts w:ascii="Times New Roman" w:eastAsiaTheme="minorEastAsia" w:hAnsi="Times New Roman"/>
          <w:color w:val="auto"/>
          <w:sz w:val="24"/>
          <w:szCs w:val="24"/>
          <w:lang w:eastAsia="en-US"/>
        </w:rPr>
        <w:t>lôžkodní</w:t>
      </w:r>
      <w:proofErr w:type="spellEnd"/>
      <w:r w:rsidRPr="00EB6D39">
        <w:rPr>
          <w:rFonts w:ascii="Times New Roman" w:eastAsiaTheme="minorEastAsia" w:hAnsi="Times New Roman"/>
          <w:color w:val="auto"/>
          <w:sz w:val="24"/>
          <w:szCs w:val="24"/>
          <w:lang w:eastAsia="en-US"/>
        </w:rPr>
        <w:t xml:space="preserve"> </w:t>
      </w:r>
      <w:r w:rsidR="002713AE" w:rsidRPr="00EB6D39">
        <w:rPr>
          <w:rFonts w:ascii="Times New Roman" w:eastAsiaTheme="minorEastAsia" w:hAnsi="Times New Roman"/>
          <w:color w:val="auto"/>
          <w:sz w:val="24"/>
          <w:szCs w:val="24"/>
          <w:lang w:eastAsia="en-US"/>
        </w:rPr>
        <w:t xml:space="preserve">o </w:t>
      </w:r>
      <w:r w:rsidRPr="00EB6D39">
        <w:rPr>
          <w:rFonts w:ascii="Times New Roman" w:eastAsiaTheme="minorEastAsia" w:hAnsi="Times New Roman"/>
          <w:color w:val="auto"/>
          <w:sz w:val="24"/>
          <w:szCs w:val="24"/>
          <w:lang w:eastAsia="en-US"/>
        </w:rPr>
        <w:t>2 %. Súčasne sa úhrady za kúpeľnú starostlivosť zvýšili o 4,6 %.</w:t>
      </w:r>
      <w:r w:rsidR="002713AE" w:rsidRPr="00EB6D39">
        <w:rPr>
          <w:rFonts w:ascii="Times New Roman" w:eastAsiaTheme="minorEastAsia" w:hAnsi="Times New Roman"/>
          <w:color w:val="auto"/>
          <w:sz w:val="24"/>
          <w:szCs w:val="24"/>
          <w:lang w:eastAsia="en-US"/>
        </w:rPr>
        <w:t xml:space="preserve"> V</w:t>
      </w:r>
      <w:r w:rsidRPr="00EB6D39">
        <w:rPr>
          <w:rFonts w:ascii="Times New Roman" w:eastAsiaTheme="minorEastAsia" w:hAnsi="Times New Roman"/>
          <w:color w:val="auto"/>
          <w:sz w:val="24"/>
          <w:szCs w:val="24"/>
          <w:lang w:eastAsia="en-US"/>
        </w:rPr>
        <w:t xml:space="preserve">yšší dopyt po kúpeľnej starostlivosti </w:t>
      </w:r>
      <w:r w:rsidR="002713AE" w:rsidRPr="00EB6D39">
        <w:rPr>
          <w:rFonts w:ascii="Times New Roman" w:eastAsiaTheme="minorEastAsia" w:hAnsi="Times New Roman"/>
          <w:color w:val="auto"/>
          <w:sz w:val="24"/>
          <w:szCs w:val="24"/>
          <w:lang w:eastAsia="en-US"/>
        </w:rPr>
        <w:t xml:space="preserve">spôsobuje </w:t>
      </w:r>
      <w:r w:rsidRPr="00EB6D39">
        <w:rPr>
          <w:rFonts w:ascii="Times New Roman" w:eastAsiaTheme="minorEastAsia" w:hAnsi="Times New Roman"/>
          <w:color w:val="auto"/>
          <w:sz w:val="24"/>
          <w:szCs w:val="24"/>
          <w:lang w:eastAsia="en-US"/>
        </w:rPr>
        <w:t>starnutie populácie</w:t>
      </w:r>
      <w:r w:rsidR="002713AE" w:rsidRPr="00EB6D39">
        <w:rPr>
          <w:rFonts w:ascii="Times New Roman" w:eastAsiaTheme="minorEastAsia" w:hAnsi="Times New Roman"/>
          <w:color w:val="auto"/>
          <w:sz w:val="24"/>
          <w:szCs w:val="24"/>
          <w:lang w:eastAsia="en-US"/>
        </w:rPr>
        <w:t>,</w:t>
      </w:r>
      <w:r w:rsidRPr="00EB6D39">
        <w:rPr>
          <w:rFonts w:ascii="Times New Roman" w:eastAsiaTheme="minorEastAsia" w:hAnsi="Times New Roman"/>
          <w:color w:val="auto"/>
          <w:sz w:val="24"/>
          <w:szCs w:val="24"/>
          <w:lang w:eastAsia="en-US"/>
        </w:rPr>
        <w:t xml:space="preserve"> nárast pacientov so srdcovo-cievnymi, neurologickými a pohybovými ochoreniami</w:t>
      </w:r>
      <w:r w:rsidR="002713AE" w:rsidRPr="00EB6D39">
        <w:rPr>
          <w:rFonts w:ascii="Times New Roman" w:eastAsiaTheme="minorEastAsia" w:hAnsi="Times New Roman"/>
          <w:color w:val="auto"/>
          <w:sz w:val="24"/>
          <w:szCs w:val="24"/>
          <w:lang w:eastAsia="en-US"/>
        </w:rPr>
        <w:t xml:space="preserve"> a nárast pacientov s </w:t>
      </w:r>
      <w:proofErr w:type="spellStart"/>
      <w:r w:rsidRPr="00EB6D39">
        <w:rPr>
          <w:rFonts w:ascii="Times New Roman" w:eastAsiaTheme="minorEastAsia" w:hAnsi="Times New Roman"/>
          <w:color w:val="auto"/>
          <w:sz w:val="24"/>
          <w:szCs w:val="24"/>
          <w:lang w:eastAsia="en-US"/>
        </w:rPr>
        <w:t>postcovidov</w:t>
      </w:r>
      <w:r w:rsidR="002713AE" w:rsidRPr="00EB6D39">
        <w:rPr>
          <w:rFonts w:ascii="Times New Roman" w:eastAsiaTheme="minorEastAsia" w:hAnsi="Times New Roman"/>
          <w:color w:val="auto"/>
          <w:sz w:val="24"/>
          <w:szCs w:val="24"/>
          <w:lang w:eastAsia="en-US"/>
        </w:rPr>
        <w:t>ým</w:t>
      </w:r>
      <w:proofErr w:type="spellEnd"/>
      <w:r w:rsidRPr="00EB6D39">
        <w:rPr>
          <w:rFonts w:ascii="Times New Roman" w:eastAsiaTheme="minorEastAsia" w:hAnsi="Times New Roman"/>
          <w:color w:val="auto"/>
          <w:sz w:val="24"/>
          <w:szCs w:val="24"/>
          <w:lang w:eastAsia="en-US"/>
        </w:rPr>
        <w:t xml:space="preserve"> syndróm</w:t>
      </w:r>
      <w:r w:rsidR="002713AE" w:rsidRPr="00EB6D39">
        <w:rPr>
          <w:rFonts w:ascii="Times New Roman" w:eastAsiaTheme="minorEastAsia" w:hAnsi="Times New Roman"/>
          <w:color w:val="auto"/>
          <w:sz w:val="24"/>
          <w:szCs w:val="24"/>
          <w:lang w:eastAsia="en-US"/>
        </w:rPr>
        <w:t>om.</w:t>
      </w:r>
    </w:p>
    <w:p w14:paraId="3E0AB0BA" w14:textId="77777777" w:rsidR="002713AE" w:rsidRDefault="002713AE" w:rsidP="002E5CA3">
      <w:pPr>
        <w:pStyle w:val="p1"/>
        <w:jc w:val="both"/>
        <w:rPr>
          <w:rFonts w:ascii="Times New Roman" w:eastAsiaTheme="minorEastAsia" w:hAnsi="Times New Roman"/>
          <w:b/>
          <w:bCs/>
          <w:color w:val="auto"/>
          <w:sz w:val="24"/>
          <w:szCs w:val="24"/>
          <w:lang w:eastAsia="en-US"/>
        </w:rPr>
      </w:pPr>
    </w:p>
    <w:p w14:paraId="2A20790E" w14:textId="1A6862A3" w:rsidR="00AA4A47" w:rsidRPr="00EB6D39" w:rsidRDefault="00AA4A47" w:rsidP="00AA4A47">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b/>
          <w:bCs/>
          <w:color w:val="auto"/>
          <w:sz w:val="24"/>
          <w:szCs w:val="24"/>
          <w:lang w:eastAsia="en-US"/>
        </w:rPr>
        <w:t>Dopravná zdravotná služba (DZS)</w:t>
      </w:r>
    </w:p>
    <w:p w14:paraId="48E9BB30" w14:textId="4E246C2B" w:rsidR="00384886" w:rsidRPr="00EB6D39" w:rsidRDefault="00384886"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roku 2024 došlo k nárastu počtu kilometrov najazdených DZS</w:t>
      </w:r>
      <w:r w:rsidR="002713AE" w:rsidRPr="00EB6D39">
        <w:rPr>
          <w:rFonts w:ascii="Times New Roman" w:eastAsiaTheme="minorEastAsia" w:hAnsi="Times New Roman"/>
          <w:color w:val="auto"/>
          <w:sz w:val="24"/>
          <w:szCs w:val="24"/>
          <w:lang w:eastAsia="en-US"/>
        </w:rPr>
        <w:t xml:space="preserve"> o </w:t>
      </w:r>
      <w:r w:rsidRPr="00EB6D39">
        <w:rPr>
          <w:rFonts w:ascii="Times New Roman" w:eastAsiaTheme="minorEastAsia" w:hAnsi="Times New Roman"/>
          <w:color w:val="auto"/>
          <w:sz w:val="24"/>
          <w:szCs w:val="24"/>
          <w:lang w:eastAsia="en-US"/>
        </w:rPr>
        <w:t>3,3 % a zároveň sa zvýšila celková úhrada za tieto služby o</w:t>
      </w:r>
      <w:r w:rsidR="005940D2" w:rsidRPr="00EB6D39">
        <w:rPr>
          <w:rFonts w:ascii="Times New Roman" w:eastAsiaTheme="minorEastAsia" w:hAnsi="Times New Roman"/>
          <w:color w:val="auto"/>
          <w:sz w:val="24"/>
          <w:szCs w:val="24"/>
          <w:lang w:eastAsia="en-US"/>
        </w:rPr>
        <w:t xml:space="preserve"> </w:t>
      </w:r>
      <w:r w:rsidRPr="00EB6D39">
        <w:rPr>
          <w:rFonts w:ascii="Times New Roman" w:eastAsiaTheme="minorEastAsia" w:hAnsi="Times New Roman"/>
          <w:color w:val="auto"/>
          <w:sz w:val="24"/>
          <w:szCs w:val="24"/>
          <w:lang w:eastAsia="en-US"/>
        </w:rPr>
        <w:t>7,9 %.</w:t>
      </w:r>
      <w:r w:rsidR="005940D2" w:rsidRPr="00EB6D39">
        <w:rPr>
          <w:rFonts w:ascii="Times New Roman" w:eastAsiaTheme="minorEastAsia" w:hAnsi="Times New Roman"/>
          <w:color w:val="auto"/>
          <w:sz w:val="24"/>
          <w:szCs w:val="24"/>
          <w:lang w:eastAsia="en-US"/>
        </w:rPr>
        <w:t xml:space="preserve"> Kumulatívny nárast limitu výdavkov v roku 2024 a v roku 2025 zohľadňuje rast nákladov na pohonné hmoty, mzdy a ostatné prevádzkové náklady. </w:t>
      </w:r>
    </w:p>
    <w:p w14:paraId="3D1318CC" w14:textId="77777777" w:rsidR="00384886" w:rsidRPr="00EB6D39" w:rsidRDefault="00384886" w:rsidP="002E5CA3">
      <w:pPr>
        <w:pStyle w:val="p1"/>
        <w:jc w:val="both"/>
        <w:rPr>
          <w:rFonts w:ascii="Times New Roman" w:eastAsiaTheme="minorEastAsia" w:hAnsi="Times New Roman"/>
          <w:b/>
          <w:bCs/>
          <w:color w:val="auto"/>
          <w:sz w:val="24"/>
          <w:szCs w:val="24"/>
          <w:lang w:eastAsia="en-US"/>
        </w:rPr>
      </w:pPr>
    </w:p>
    <w:p w14:paraId="68E37406" w14:textId="1D999B77" w:rsidR="00AA4A47" w:rsidRPr="00EB6D39" w:rsidRDefault="00AA4A47" w:rsidP="00AA4A47">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t>Vrtuľníková a letecká záchranná zdravotná služba (VZZS)</w:t>
      </w:r>
    </w:p>
    <w:p w14:paraId="20AB0C46" w14:textId="014B347E" w:rsidR="00384886" w:rsidRPr="00EB6D39" w:rsidRDefault="00384886"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roku 2024 došlo k výraznému nárastu počtu výjazdov (VZZS) o 10,1 %</w:t>
      </w:r>
      <w:r w:rsidR="0072232E" w:rsidRPr="00EB6D39">
        <w:rPr>
          <w:rFonts w:ascii="Times New Roman" w:eastAsiaTheme="minorEastAsia" w:hAnsi="Times New Roman"/>
          <w:color w:val="auto"/>
          <w:sz w:val="24"/>
          <w:szCs w:val="24"/>
          <w:lang w:eastAsia="en-US"/>
        </w:rPr>
        <w:t xml:space="preserve"> a </w:t>
      </w:r>
      <w:r w:rsidRPr="00EB6D39">
        <w:rPr>
          <w:rFonts w:ascii="Times New Roman" w:eastAsiaTheme="minorEastAsia" w:hAnsi="Times New Roman"/>
          <w:color w:val="auto"/>
          <w:sz w:val="24"/>
          <w:szCs w:val="24"/>
          <w:lang w:eastAsia="en-US"/>
        </w:rPr>
        <w:t xml:space="preserve">úhrady </w:t>
      </w:r>
      <w:r w:rsidR="0072232E" w:rsidRPr="00EB6D39">
        <w:rPr>
          <w:rFonts w:ascii="Times New Roman" w:eastAsiaTheme="minorEastAsia" w:hAnsi="Times New Roman"/>
          <w:color w:val="auto"/>
          <w:sz w:val="24"/>
          <w:szCs w:val="24"/>
          <w:lang w:eastAsia="en-US"/>
        </w:rPr>
        <w:t>vzrástli</w:t>
      </w:r>
      <w:r w:rsidR="00AA4A47" w:rsidRPr="00EB6D39">
        <w:rPr>
          <w:rFonts w:ascii="Times New Roman" w:eastAsiaTheme="minorEastAsia" w:hAnsi="Times New Roman"/>
          <w:color w:val="auto"/>
          <w:sz w:val="24"/>
          <w:szCs w:val="24"/>
          <w:lang w:eastAsia="en-US"/>
        </w:rPr>
        <w:t xml:space="preserve"> </w:t>
      </w:r>
      <w:r w:rsidR="00CF340A" w:rsidRPr="00EB6D39">
        <w:rPr>
          <w:rFonts w:ascii="Times New Roman" w:eastAsiaTheme="minorEastAsia" w:hAnsi="Times New Roman"/>
          <w:color w:val="auto"/>
          <w:sz w:val="24"/>
          <w:szCs w:val="24"/>
          <w:lang w:eastAsia="en-US"/>
        </w:rPr>
        <w:t xml:space="preserve">o 6,8 % </w:t>
      </w:r>
      <w:r w:rsidR="0072232E" w:rsidRPr="00EB6D39">
        <w:rPr>
          <w:rFonts w:ascii="Times New Roman" w:eastAsiaTheme="minorEastAsia" w:hAnsi="Times New Roman"/>
          <w:color w:val="auto"/>
          <w:sz w:val="24"/>
          <w:szCs w:val="24"/>
          <w:lang w:eastAsia="en-US"/>
        </w:rPr>
        <w:t>v súlade s valorizáciou miezd zdravotníckych pracovníkov a rastom prevádzkových nákladov</w:t>
      </w:r>
      <w:r w:rsidRPr="00EB6D39">
        <w:rPr>
          <w:rFonts w:ascii="Times New Roman" w:eastAsiaTheme="minorEastAsia" w:hAnsi="Times New Roman"/>
          <w:color w:val="auto"/>
          <w:sz w:val="24"/>
          <w:szCs w:val="24"/>
          <w:lang w:eastAsia="en-US"/>
        </w:rPr>
        <w:t xml:space="preserve">, </w:t>
      </w:r>
      <w:r w:rsidR="0072232E" w:rsidRPr="00EB6D39">
        <w:rPr>
          <w:rFonts w:ascii="Times New Roman" w:eastAsiaTheme="minorEastAsia" w:hAnsi="Times New Roman"/>
          <w:color w:val="auto"/>
          <w:sz w:val="24"/>
          <w:szCs w:val="24"/>
          <w:lang w:eastAsia="en-US"/>
        </w:rPr>
        <w:t>nakoľko ide o regulovaný segment</w:t>
      </w:r>
      <w:r w:rsidRPr="00EB6D39">
        <w:rPr>
          <w:rFonts w:ascii="Times New Roman" w:eastAsiaTheme="minorEastAsia" w:hAnsi="Times New Roman"/>
          <w:color w:val="auto"/>
          <w:sz w:val="24"/>
          <w:szCs w:val="24"/>
          <w:lang w:eastAsia="en-US"/>
        </w:rPr>
        <w:t>.</w:t>
      </w:r>
    </w:p>
    <w:p w14:paraId="40754E9A" w14:textId="77777777" w:rsidR="00286867" w:rsidRPr="00EB6D39" w:rsidRDefault="00286867" w:rsidP="002E5CA3">
      <w:pPr>
        <w:pStyle w:val="p1"/>
        <w:jc w:val="both"/>
        <w:rPr>
          <w:rFonts w:ascii="Times New Roman" w:eastAsiaTheme="minorEastAsia" w:hAnsi="Times New Roman"/>
          <w:color w:val="auto"/>
          <w:sz w:val="24"/>
          <w:szCs w:val="24"/>
          <w:lang w:eastAsia="en-US"/>
        </w:rPr>
      </w:pPr>
    </w:p>
    <w:p w14:paraId="3C61BF23" w14:textId="7D9AA270" w:rsidR="00AA4A47" w:rsidRPr="00EB6D39" w:rsidRDefault="00AA4A47" w:rsidP="00AA4A47">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b/>
          <w:bCs/>
          <w:color w:val="auto"/>
          <w:sz w:val="24"/>
          <w:szCs w:val="24"/>
          <w:lang w:eastAsia="en-US"/>
        </w:rPr>
        <w:t>Iná zdravotná starostlivosť</w:t>
      </w:r>
    </w:p>
    <w:p w14:paraId="2B2D9A5D" w14:textId="0C866A88" w:rsidR="00286867" w:rsidRPr="00EB6D39" w:rsidRDefault="0028686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Do tohto typu zdravotnej starostlivosti sa zaraďuje</w:t>
      </w:r>
      <w:r w:rsidR="00074845" w:rsidRPr="00EB6D39">
        <w:rPr>
          <w:rFonts w:ascii="Times New Roman" w:eastAsiaTheme="minorEastAsia" w:hAnsi="Times New Roman"/>
          <w:color w:val="auto"/>
          <w:sz w:val="24"/>
          <w:szCs w:val="24"/>
          <w:lang w:eastAsia="en-US"/>
        </w:rPr>
        <w:t xml:space="preserve"> predovšetkým</w:t>
      </w:r>
      <w:r w:rsidRPr="00EB6D39">
        <w:rPr>
          <w:rFonts w:ascii="Times New Roman" w:eastAsiaTheme="minorEastAsia" w:hAnsi="Times New Roman"/>
          <w:color w:val="auto"/>
          <w:sz w:val="24"/>
          <w:szCs w:val="24"/>
          <w:lang w:eastAsia="en-US"/>
        </w:rPr>
        <w:t xml:space="preserve">: </w:t>
      </w:r>
    </w:p>
    <w:p w14:paraId="17CAC7E7" w14:textId="77777777"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zdravotná starostlivosť poskytnutá poistencovi v cudzine okrem členských štátov Európskej únie a zmluvného štátu Dohody o Európskom hospodárskom priestore a Švajčiarskej konfederácie </w:t>
      </w:r>
    </w:p>
    <w:p w14:paraId="7A125660" w14:textId="77777777"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zdravotná starostlivosť poskytnutá poistencovi v iných členských štátoch </w:t>
      </w:r>
    </w:p>
    <w:p w14:paraId="71E45CB2" w14:textId="454AE604"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zdravotná starostlivosť poskytnutá  poistencovi v cudzine podľa medzinárodných zmlúv uzatvorených so Slovenskou republikou</w:t>
      </w:r>
    </w:p>
    <w:p w14:paraId="60C501C9" w14:textId="07D69854"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osobe v Slovenskej republike podľa medzinárodných zmlúv uzatvorených so Slovenskou republikou</w:t>
      </w:r>
    </w:p>
    <w:p w14:paraId="00E2763B" w14:textId="5AC5469C"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lastRenderedPageBreak/>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poistencovi iného členského štátu v Slovenskej republike </w:t>
      </w:r>
    </w:p>
    <w:p w14:paraId="0ADE72BA" w14:textId="2F0953B5"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cudzincom bez verejného zdravotného poistenia </w:t>
      </w:r>
    </w:p>
    <w:p w14:paraId="12E41361" w14:textId="72E56DFA"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bezdomovcom </w:t>
      </w:r>
    </w:p>
    <w:p w14:paraId="52C82BFE" w14:textId="2D800210"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poistencom, ktorí si nepodali prihlášku na verejné zdravotné poistenie </w:t>
      </w:r>
    </w:p>
    <w:p w14:paraId="644C96DC" w14:textId="4379FC25"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cudzincovi s poskytnutou doplnkovou ochranou a obeti obchodovania s</w:t>
      </w:r>
      <w:r w:rsidR="00074845" w:rsidRPr="00EB6D39">
        <w:rPr>
          <w:rFonts w:ascii="Times New Roman" w:eastAsiaTheme="minorEastAsia" w:hAnsi="Times New Roman"/>
          <w:color w:val="auto"/>
          <w:sz w:val="24"/>
          <w:szCs w:val="24"/>
          <w:lang w:eastAsia="en-US"/>
        </w:rPr>
        <w:t> </w:t>
      </w:r>
      <w:r w:rsidRPr="00EB6D39">
        <w:rPr>
          <w:rFonts w:ascii="Times New Roman" w:eastAsiaTheme="minorEastAsia" w:hAnsi="Times New Roman"/>
          <w:color w:val="auto"/>
          <w:sz w:val="24"/>
          <w:szCs w:val="24"/>
          <w:lang w:eastAsia="en-US"/>
        </w:rPr>
        <w:t>ľuďmi</w:t>
      </w:r>
    </w:p>
    <w:p w14:paraId="69446783" w14:textId="1725AF1D"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Ukrajincom, ktorí získali dočasné útočisko </w:t>
      </w:r>
    </w:p>
    <w:p w14:paraId="0043F485" w14:textId="5F5B924A" w:rsidR="00286867" w:rsidRPr="00EB6D39" w:rsidRDefault="00286867" w:rsidP="002E5CA3">
      <w:pPr>
        <w:pStyle w:val="p1"/>
        <w:numPr>
          <w:ilvl w:val="0"/>
          <w:numId w:val="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zdravotn</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starostlivosť poskytnut</w:t>
      </w:r>
      <w:r w:rsidR="00074845" w:rsidRPr="00EB6D39">
        <w:rPr>
          <w:rFonts w:ascii="Times New Roman" w:eastAsiaTheme="minorEastAsia" w:hAnsi="Times New Roman"/>
          <w:color w:val="auto"/>
          <w:sz w:val="24"/>
          <w:szCs w:val="24"/>
          <w:lang w:eastAsia="en-US"/>
        </w:rPr>
        <w:t>á</w:t>
      </w:r>
      <w:r w:rsidRPr="00EB6D39">
        <w:rPr>
          <w:rFonts w:ascii="Times New Roman" w:eastAsiaTheme="minorEastAsia" w:hAnsi="Times New Roman"/>
          <w:color w:val="auto"/>
          <w:sz w:val="24"/>
          <w:szCs w:val="24"/>
          <w:lang w:eastAsia="en-US"/>
        </w:rPr>
        <w:t xml:space="preserve"> Ukrajincom, ktorí nezískali dočasné útočisko </w:t>
      </w:r>
    </w:p>
    <w:p w14:paraId="56A9094E" w14:textId="77777777" w:rsidR="00AA4A47" w:rsidRPr="00EB6D39" w:rsidRDefault="00AA4A47" w:rsidP="00AA4A47">
      <w:pPr>
        <w:pStyle w:val="p1"/>
        <w:ind w:firstLine="708"/>
        <w:jc w:val="both"/>
        <w:rPr>
          <w:rFonts w:ascii="Times New Roman" w:eastAsiaTheme="minorEastAsia" w:hAnsi="Times New Roman"/>
          <w:color w:val="auto"/>
          <w:sz w:val="24"/>
          <w:szCs w:val="24"/>
          <w:lang w:eastAsia="en-US"/>
        </w:rPr>
      </w:pPr>
    </w:p>
    <w:p w14:paraId="0CC00C31" w14:textId="7693A342" w:rsidR="008B3073" w:rsidRPr="00EB6D39" w:rsidRDefault="006032E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roku 2024 došlo k medziročnému nárastu o 16,7%. V roku 2025 sa očakáva v tejto položke optimalizácia výdavkov.</w:t>
      </w:r>
    </w:p>
    <w:p w14:paraId="3EEA3E98" w14:textId="77777777" w:rsidR="00AA4A47" w:rsidRPr="00EB6D39" w:rsidRDefault="00AA4A47" w:rsidP="002E5CA3">
      <w:pPr>
        <w:pStyle w:val="p1"/>
        <w:jc w:val="both"/>
        <w:rPr>
          <w:rFonts w:ascii="Times New Roman" w:eastAsiaTheme="minorEastAsia" w:hAnsi="Times New Roman"/>
          <w:b/>
          <w:bCs/>
          <w:color w:val="auto"/>
          <w:sz w:val="24"/>
          <w:szCs w:val="24"/>
          <w:lang w:eastAsia="en-US"/>
        </w:rPr>
      </w:pPr>
    </w:p>
    <w:p w14:paraId="2DC5AAC7" w14:textId="7D9E712B" w:rsidR="006032E7" w:rsidRPr="00EB6D39" w:rsidRDefault="006032E7" w:rsidP="002E5CA3">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t>Metodika tvorby rozpočtu</w:t>
      </w:r>
    </w:p>
    <w:p w14:paraId="6EC384A6" w14:textId="77777777" w:rsidR="006032E7" w:rsidRPr="00EB6D39" w:rsidRDefault="006032E7" w:rsidP="006032E7">
      <w:pPr>
        <w:pStyle w:val="p1"/>
        <w:jc w:val="both"/>
        <w:rPr>
          <w:rFonts w:ascii="Times New Roman" w:eastAsiaTheme="minorEastAsia" w:hAnsi="Times New Roman"/>
          <w:color w:val="auto"/>
          <w:sz w:val="24"/>
          <w:szCs w:val="24"/>
          <w:lang w:eastAsia="en-US"/>
        </w:rPr>
      </w:pPr>
    </w:p>
    <w:p w14:paraId="1E64F25B" w14:textId="7681DB35" w:rsidR="006032E7" w:rsidRPr="00EB6D39" w:rsidRDefault="006032E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Výdavky na zdravotníctvo sa od štartu projektu hodnoty za peniaze rozpočtujú v nasledujúcich krokoch:</w:t>
      </w:r>
    </w:p>
    <w:p w14:paraId="734B7419" w14:textId="385EBC20" w:rsidR="00BA2FC4" w:rsidRPr="00EB6D39" w:rsidRDefault="006032E7" w:rsidP="00EB6D39">
      <w:pPr>
        <w:pStyle w:val="p1"/>
        <w:numPr>
          <w:ilvl w:val="0"/>
          <w:numId w:val="39"/>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Odhadnú sa očakávané výdavky aktuálneho roka (Očakávaná skutočnosť 2024), ktoré po očistení o jednorazové položky tvoria bázu pre rok 2025.</w:t>
      </w:r>
    </w:p>
    <w:p w14:paraId="21529DCB" w14:textId="2563E4E1" w:rsidR="00BA2FC4" w:rsidRPr="00EB6D39" w:rsidRDefault="006032E7" w:rsidP="00EB6D39">
      <w:pPr>
        <w:pStyle w:val="p1"/>
        <w:numPr>
          <w:ilvl w:val="0"/>
          <w:numId w:val="39"/>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K báze je následne prirátaný rast výdavkov bez zmien politík (NPC), ktorý zohľadňuje rast miezd podľa automatickej valorizácie miezd, CPI infláciu podľa makroekonomickej prognózy MF SR a rast spotreby liekov. Rozpočet počíta aj s vplyvom starnutia populácie a tým spôsobenú vyššiu produkciu na základe prognóz Rady pre rozpočtovú zodpovednosť (RRZ).</w:t>
      </w:r>
    </w:p>
    <w:p w14:paraId="4264DDBF" w14:textId="045049A2" w:rsidR="00BA2FC4" w:rsidRPr="00EB6D39" w:rsidRDefault="006032E7" w:rsidP="00EB6D39">
      <w:pPr>
        <w:pStyle w:val="p1"/>
        <w:numPr>
          <w:ilvl w:val="0"/>
          <w:numId w:val="39"/>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Pripočítajú sa dodatočné výdavky tzv. zmeny politík (PC), ako napríklad vládou schválené zdroje pre dofinancovanie štátnych nemocníc alebo dopady zákonov schválených po schválení rozpočtu. </w:t>
      </w:r>
    </w:p>
    <w:p w14:paraId="04479A98" w14:textId="234498BA" w:rsidR="006032E7" w:rsidRDefault="006032E7" w:rsidP="00EB6D39">
      <w:pPr>
        <w:pStyle w:val="p1"/>
        <w:numPr>
          <w:ilvl w:val="0"/>
          <w:numId w:val="39"/>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záujme optimalizácie efektívnosti zdrojov sa pri tvorbe rozpočtu kvantifikujú aj oblasti zdravotnej starostlivosti, v ktorých by bolo možné dosiahnuť vyššiu hodnotu za peniaze (</w:t>
      </w:r>
      <w:proofErr w:type="spellStart"/>
      <w:r w:rsidRPr="00EB6D39">
        <w:rPr>
          <w:rFonts w:ascii="Times New Roman" w:eastAsiaTheme="minorEastAsia" w:hAnsi="Times New Roman"/>
          <w:color w:val="auto"/>
          <w:sz w:val="24"/>
          <w:szCs w:val="24"/>
          <w:lang w:eastAsia="en-US"/>
        </w:rPr>
        <w:t>VfM</w:t>
      </w:r>
      <w:proofErr w:type="spellEnd"/>
      <w:r w:rsidRPr="00EB6D39">
        <w:rPr>
          <w:rFonts w:ascii="Times New Roman" w:eastAsiaTheme="minorEastAsia" w:hAnsi="Times New Roman"/>
          <w:color w:val="auto"/>
          <w:sz w:val="24"/>
          <w:szCs w:val="24"/>
          <w:lang w:eastAsia="en-US"/>
        </w:rPr>
        <w:t xml:space="preserve">), ako napríklad nákladová efektívnosť liekov, podpora vstupu generických a </w:t>
      </w:r>
      <w:proofErr w:type="spellStart"/>
      <w:r w:rsidRPr="00EB6D39">
        <w:rPr>
          <w:rFonts w:ascii="Times New Roman" w:eastAsiaTheme="minorEastAsia" w:hAnsi="Times New Roman"/>
          <w:color w:val="auto"/>
          <w:sz w:val="24"/>
          <w:szCs w:val="24"/>
          <w:lang w:eastAsia="en-US"/>
        </w:rPr>
        <w:t>biosimilárnych</w:t>
      </w:r>
      <w:proofErr w:type="spellEnd"/>
      <w:r w:rsidRPr="00EB6D39">
        <w:rPr>
          <w:rFonts w:ascii="Times New Roman" w:eastAsiaTheme="minorEastAsia" w:hAnsi="Times New Roman"/>
          <w:color w:val="auto"/>
          <w:sz w:val="24"/>
          <w:szCs w:val="24"/>
          <w:lang w:eastAsia="en-US"/>
        </w:rPr>
        <w:t xml:space="preserve"> liekov na slovenský trh, redukcia nadbytočných laboratórnych a zobrazovacích vyšetrení či opatrenia v oblasti poskytovaných benefitov pre poistencov zdravotných poisťovní. Optimalizácia efektívnosti zdrojov je jeden zo 4 kľúčových cieľov, ktoré sa uplatňovanie správnej rozpočtovej praxe v zdravotníctve snaží dosiahnuť.  </w:t>
      </w:r>
    </w:p>
    <w:p w14:paraId="1EBD41EF" w14:textId="77777777" w:rsidR="00663746" w:rsidRDefault="00663746" w:rsidP="00663746">
      <w:pPr>
        <w:pStyle w:val="p1"/>
        <w:jc w:val="both"/>
        <w:rPr>
          <w:rFonts w:ascii="Times New Roman" w:eastAsiaTheme="minorEastAsia" w:hAnsi="Times New Roman"/>
          <w:color w:val="auto"/>
          <w:sz w:val="24"/>
          <w:szCs w:val="24"/>
          <w:lang w:eastAsia="en-US"/>
        </w:rPr>
      </w:pPr>
    </w:p>
    <w:tbl>
      <w:tblPr>
        <w:tblW w:w="8398" w:type="dxa"/>
        <w:tblInd w:w="533" w:type="dxa"/>
        <w:tblCellMar>
          <w:left w:w="70" w:type="dxa"/>
          <w:right w:w="70" w:type="dxa"/>
        </w:tblCellMar>
        <w:tblLook w:val="04A0" w:firstRow="1" w:lastRow="0" w:firstColumn="1" w:lastColumn="0" w:noHBand="0" w:noVBand="1"/>
      </w:tblPr>
      <w:tblGrid>
        <w:gridCol w:w="6555"/>
        <w:gridCol w:w="1843"/>
      </w:tblGrid>
      <w:tr w:rsidR="00663746" w:rsidRPr="00663746" w14:paraId="01DB66DB" w14:textId="77777777" w:rsidTr="00663746">
        <w:trPr>
          <w:trHeight w:val="270"/>
        </w:trPr>
        <w:tc>
          <w:tcPr>
            <w:tcW w:w="8398" w:type="dxa"/>
            <w:gridSpan w:val="2"/>
            <w:tcBorders>
              <w:top w:val="nil"/>
              <w:left w:val="nil"/>
              <w:bottom w:val="single" w:sz="8" w:space="0" w:color="auto"/>
              <w:right w:val="nil"/>
            </w:tcBorders>
            <w:shd w:val="clear" w:color="auto" w:fill="auto"/>
            <w:vAlign w:val="center"/>
            <w:hideMark/>
          </w:tcPr>
          <w:p w14:paraId="242D8887" w14:textId="77777777" w:rsidR="00663746" w:rsidRPr="00663746" w:rsidRDefault="00663746" w:rsidP="00663746">
            <w:pPr>
              <w:spacing w:after="0" w:line="240" w:lineRule="auto"/>
              <w:rPr>
                <w:rFonts w:ascii="Times New Roman" w:eastAsia="Times New Roman" w:hAnsi="Times New Roman" w:cs="Times New Roman"/>
                <w:b/>
                <w:bCs/>
                <w:color w:val="000000"/>
                <w:kern w:val="0"/>
                <w:lang w:eastAsia="sk-SK"/>
                <w14:ligatures w14:val="none"/>
              </w:rPr>
            </w:pPr>
            <w:r w:rsidRPr="00663746">
              <w:rPr>
                <w:rFonts w:ascii="Times New Roman" w:eastAsia="Times New Roman" w:hAnsi="Times New Roman" w:cs="Times New Roman"/>
                <w:b/>
                <w:bCs/>
                <w:color w:val="000000"/>
                <w:kern w:val="0"/>
                <w:lang w:eastAsia="sk-SK"/>
                <w14:ligatures w14:val="none"/>
              </w:rPr>
              <w:t>Tabuľka 5: Rozpočet 2025 a zmeny výdavkov (v mil. eur)</w:t>
            </w:r>
          </w:p>
        </w:tc>
      </w:tr>
      <w:tr w:rsidR="00663746" w:rsidRPr="00663746" w14:paraId="15A93768"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5905A1CB" w14:textId="77777777" w:rsidR="00663746" w:rsidRPr="00663746" w:rsidRDefault="00663746" w:rsidP="00663746">
            <w:pPr>
              <w:spacing w:after="0" w:line="240" w:lineRule="auto"/>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Rozpočet VZP 2024</w:t>
            </w:r>
          </w:p>
        </w:tc>
        <w:tc>
          <w:tcPr>
            <w:tcW w:w="1843" w:type="dxa"/>
            <w:tcBorders>
              <w:top w:val="nil"/>
              <w:left w:val="nil"/>
              <w:bottom w:val="single" w:sz="8" w:space="0" w:color="auto"/>
              <w:right w:val="single" w:sz="8" w:space="0" w:color="auto"/>
            </w:tcBorders>
            <w:shd w:val="clear" w:color="auto" w:fill="auto"/>
            <w:vAlign w:val="center"/>
            <w:hideMark/>
          </w:tcPr>
          <w:p w14:paraId="481CD877"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7 667</w:t>
            </w:r>
          </w:p>
        </w:tc>
      </w:tr>
      <w:tr w:rsidR="00663746" w:rsidRPr="00663746" w14:paraId="43D35B28"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17BF5305" w14:textId="77777777" w:rsidR="00663746" w:rsidRPr="00663746" w:rsidRDefault="00663746" w:rsidP="00663746">
            <w:pPr>
              <w:spacing w:after="0" w:line="240" w:lineRule="auto"/>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Očakávaná skutočnosť 2024 v čase schvaľovania rozpočtu</w:t>
            </w:r>
          </w:p>
        </w:tc>
        <w:tc>
          <w:tcPr>
            <w:tcW w:w="1843" w:type="dxa"/>
            <w:tcBorders>
              <w:top w:val="nil"/>
              <w:left w:val="nil"/>
              <w:bottom w:val="single" w:sz="8" w:space="0" w:color="auto"/>
              <w:right w:val="single" w:sz="8" w:space="0" w:color="auto"/>
            </w:tcBorders>
            <w:shd w:val="clear" w:color="auto" w:fill="auto"/>
            <w:vAlign w:val="center"/>
            <w:hideMark/>
          </w:tcPr>
          <w:p w14:paraId="21E0B02C"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7 903</w:t>
            </w:r>
          </w:p>
        </w:tc>
      </w:tr>
      <w:tr w:rsidR="00663746" w:rsidRPr="00663746" w14:paraId="2D1C1AAD"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1E5CD8D6" w14:textId="77777777" w:rsidR="00663746" w:rsidRPr="00663746" w:rsidRDefault="00663746" w:rsidP="00663746">
            <w:pPr>
              <w:spacing w:after="0" w:line="240" w:lineRule="auto"/>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Báza pre 2025 (OS2024 korigovaná)</w:t>
            </w:r>
          </w:p>
        </w:tc>
        <w:tc>
          <w:tcPr>
            <w:tcW w:w="1843" w:type="dxa"/>
            <w:tcBorders>
              <w:top w:val="nil"/>
              <w:left w:val="nil"/>
              <w:bottom w:val="single" w:sz="8" w:space="0" w:color="auto"/>
              <w:right w:val="single" w:sz="8" w:space="0" w:color="auto"/>
            </w:tcBorders>
            <w:shd w:val="clear" w:color="auto" w:fill="auto"/>
            <w:vAlign w:val="center"/>
            <w:hideMark/>
          </w:tcPr>
          <w:p w14:paraId="6AF75245"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7 897</w:t>
            </w:r>
          </w:p>
        </w:tc>
      </w:tr>
      <w:tr w:rsidR="00663746" w:rsidRPr="00663746" w14:paraId="25A1A1FF"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2A383132" w14:textId="77777777" w:rsidR="00663746" w:rsidRPr="00663746" w:rsidRDefault="00663746" w:rsidP="00663746">
            <w:pPr>
              <w:spacing w:after="0" w:line="240" w:lineRule="auto"/>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Zmeny 2025 voči očakávanej skutočnosti 2024</w:t>
            </w:r>
          </w:p>
        </w:tc>
        <w:tc>
          <w:tcPr>
            <w:tcW w:w="1843" w:type="dxa"/>
            <w:tcBorders>
              <w:top w:val="nil"/>
              <w:left w:val="nil"/>
              <w:bottom w:val="single" w:sz="8" w:space="0" w:color="auto"/>
              <w:right w:val="single" w:sz="8" w:space="0" w:color="auto"/>
            </w:tcBorders>
            <w:shd w:val="clear" w:color="auto" w:fill="auto"/>
            <w:vAlign w:val="center"/>
            <w:hideMark/>
          </w:tcPr>
          <w:p w14:paraId="48C4168B"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407</w:t>
            </w:r>
          </w:p>
        </w:tc>
      </w:tr>
      <w:tr w:rsidR="00663746" w:rsidRPr="00663746" w14:paraId="2CB78D4D"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44D082C3" w14:textId="77777777" w:rsidR="00663746" w:rsidRPr="00663746" w:rsidRDefault="00663746" w:rsidP="00663746">
            <w:pPr>
              <w:spacing w:after="0" w:line="240" w:lineRule="auto"/>
              <w:ind w:firstLineChars="500" w:firstLine="1100"/>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Nárasty bez zmien politík (rast miezd, starnutie)</w:t>
            </w:r>
          </w:p>
        </w:tc>
        <w:tc>
          <w:tcPr>
            <w:tcW w:w="1843" w:type="dxa"/>
            <w:tcBorders>
              <w:top w:val="nil"/>
              <w:left w:val="nil"/>
              <w:bottom w:val="single" w:sz="8" w:space="0" w:color="auto"/>
              <w:right w:val="single" w:sz="8" w:space="0" w:color="auto"/>
            </w:tcBorders>
            <w:shd w:val="clear" w:color="auto" w:fill="auto"/>
            <w:vAlign w:val="center"/>
            <w:hideMark/>
          </w:tcPr>
          <w:p w14:paraId="0E35457D"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514</w:t>
            </w:r>
          </w:p>
        </w:tc>
      </w:tr>
      <w:tr w:rsidR="00663746" w:rsidRPr="00663746" w14:paraId="6C212754"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18B481FD" w14:textId="77777777" w:rsidR="00663746" w:rsidRPr="00663746" w:rsidRDefault="00663746" w:rsidP="00663746">
            <w:pPr>
              <w:spacing w:after="0" w:line="240" w:lineRule="auto"/>
              <w:ind w:firstLineChars="500" w:firstLine="1100"/>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Zmeny politík</w:t>
            </w:r>
          </w:p>
        </w:tc>
        <w:tc>
          <w:tcPr>
            <w:tcW w:w="1843" w:type="dxa"/>
            <w:tcBorders>
              <w:top w:val="nil"/>
              <w:left w:val="nil"/>
              <w:bottom w:val="single" w:sz="8" w:space="0" w:color="auto"/>
              <w:right w:val="single" w:sz="8" w:space="0" w:color="auto"/>
            </w:tcBorders>
            <w:shd w:val="clear" w:color="auto" w:fill="auto"/>
            <w:vAlign w:val="center"/>
            <w:hideMark/>
          </w:tcPr>
          <w:p w14:paraId="5FEB9788"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177</w:t>
            </w:r>
          </w:p>
        </w:tc>
      </w:tr>
      <w:tr w:rsidR="00663746" w:rsidRPr="00663746" w14:paraId="061E10CE"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4EEEA312" w14:textId="77777777" w:rsidR="00663746" w:rsidRPr="00663746" w:rsidRDefault="00663746" w:rsidP="00663746">
            <w:pPr>
              <w:spacing w:after="0" w:line="240" w:lineRule="auto"/>
              <w:ind w:firstLineChars="500" w:firstLine="1100"/>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Úsporné opatrenia z toho</w:t>
            </w:r>
          </w:p>
        </w:tc>
        <w:tc>
          <w:tcPr>
            <w:tcW w:w="1843" w:type="dxa"/>
            <w:tcBorders>
              <w:top w:val="nil"/>
              <w:left w:val="nil"/>
              <w:bottom w:val="single" w:sz="8" w:space="0" w:color="auto"/>
              <w:right w:val="single" w:sz="8" w:space="0" w:color="auto"/>
            </w:tcBorders>
            <w:shd w:val="clear" w:color="auto" w:fill="auto"/>
            <w:vAlign w:val="center"/>
            <w:hideMark/>
          </w:tcPr>
          <w:p w14:paraId="33F2D690"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-284</w:t>
            </w:r>
          </w:p>
        </w:tc>
      </w:tr>
      <w:tr w:rsidR="00663746" w:rsidRPr="00663746" w14:paraId="0B99365B"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4A77750B" w14:textId="77777777" w:rsidR="00663746" w:rsidRPr="00663746" w:rsidRDefault="00663746" w:rsidP="00663746">
            <w:pPr>
              <w:spacing w:after="0" w:line="240" w:lineRule="auto"/>
              <w:ind w:firstLineChars="500" w:firstLine="1100"/>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 xml:space="preserve">      Úspora na DPH</w:t>
            </w:r>
          </w:p>
        </w:tc>
        <w:tc>
          <w:tcPr>
            <w:tcW w:w="1843" w:type="dxa"/>
            <w:tcBorders>
              <w:top w:val="nil"/>
              <w:left w:val="nil"/>
              <w:bottom w:val="single" w:sz="8" w:space="0" w:color="auto"/>
              <w:right w:val="single" w:sz="8" w:space="0" w:color="auto"/>
            </w:tcBorders>
            <w:shd w:val="clear" w:color="auto" w:fill="auto"/>
            <w:vAlign w:val="center"/>
            <w:hideMark/>
          </w:tcPr>
          <w:p w14:paraId="63D20867"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-101</w:t>
            </w:r>
          </w:p>
        </w:tc>
      </w:tr>
      <w:tr w:rsidR="00663746" w:rsidRPr="00663746" w14:paraId="50520FAD"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0FC6F9DC" w14:textId="77777777" w:rsidR="00663746" w:rsidRPr="00663746" w:rsidRDefault="00663746" w:rsidP="00663746">
            <w:pPr>
              <w:spacing w:after="0" w:line="240" w:lineRule="auto"/>
              <w:ind w:firstLineChars="200" w:firstLine="440"/>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Rozpočet VZP 2025 (OS 2024 + zmeny)</w:t>
            </w:r>
          </w:p>
        </w:tc>
        <w:tc>
          <w:tcPr>
            <w:tcW w:w="1843" w:type="dxa"/>
            <w:tcBorders>
              <w:top w:val="nil"/>
              <w:left w:val="nil"/>
              <w:bottom w:val="single" w:sz="8" w:space="0" w:color="auto"/>
              <w:right w:val="single" w:sz="8" w:space="0" w:color="auto"/>
            </w:tcBorders>
            <w:shd w:val="clear" w:color="auto" w:fill="auto"/>
            <w:vAlign w:val="center"/>
            <w:hideMark/>
          </w:tcPr>
          <w:p w14:paraId="5F6C1442"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8 304</w:t>
            </w:r>
          </w:p>
        </w:tc>
      </w:tr>
      <w:tr w:rsidR="00663746" w:rsidRPr="00663746" w14:paraId="269B8258" w14:textId="77777777" w:rsidTr="00663746">
        <w:trPr>
          <w:trHeight w:val="270"/>
        </w:trPr>
        <w:tc>
          <w:tcPr>
            <w:tcW w:w="6555" w:type="dxa"/>
            <w:tcBorders>
              <w:top w:val="nil"/>
              <w:left w:val="single" w:sz="8" w:space="0" w:color="auto"/>
              <w:bottom w:val="single" w:sz="8" w:space="0" w:color="auto"/>
              <w:right w:val="single" w:sz="8" w:space="0" w:color="auto"/>
            </w:tcBorders>
            <w:shd w:val="clear" w:color="auto" w:fill="auto"/>
            <w:vAlign w:val="center"/>
            <w:hideMark/>
          </w:tcPr>
          <w:p w14:paraId="773048AB" w14:textId="77777777" w:rsidR="00663746" w:rsidRPr="00663746" w:rsidRDefault="00663746" w:rsidP="00663746">
            <w:pPr>
              <w:spacing w:after="0" w:line="240" w:lineRule="auto"/>
              <w:rPr>
                <w:rFonts w:ascii="Times New Roman" w:eastAsia="Times New Roman" w:hAnsi="Times New Roman" w:cs="Times New Roman"/>
                <w:i/>
                <w:iCs/>
                <w:color w:val="000000"/>
                <w:kern w:val="0"/>
                <w:lang w:eastAsia="sk-SK"/>
                <w14:ligatures w14:val="none"/>
              </w:rPr>
            </w:pPr>
            <w:r w:rsidRPr="00663746">
              <w:rPr>
                <w:rFonts w:ascii="Times New Roman" w:eastAsia="Times New Roman" w:hAnsi="Times New Roman" w:cs="Times New Roman"/>
                <w:i/>
                <w:iCs/>
                <w:color w:val="000000"/>
                <w:kern w:val="0"/>
                <w:lang w:eastAsia="sk-SK"/>
                <w14:ligatures w14:val="none"/>
              </w:rPr>
              <w:t>% nárast rozpočtu voči očakávanej skutočnosti 2024 korigovanej</w:t>
            </w:r>
          </w:p>
        </w:tc>
        <w:tc>
          <w:tcPr>
            <w:tcW w:w="1843" w:type="dxa"/>
            <w:tcBorders>
              <w:top w:val="nil"/>
              <w:left w:val="nil"/>
              <w:bottom w:val="single" w:sz="8" w:space="0" w:color="auto"/>
              <w:right w:val="single" w:sz="8" w:space="0" w:color="auto"/>
            </w:tcBorders>
            <w:shd w:val="clear" w:color="auto" w:fill="auto"/>
            <w:vAlign w:val="center"/>
            <w:hideMark/>
          </w:tcPr>
          <w:p w14:paraId="1260CCBF" w14:textId="77777777" w:rsidR="00663746" w:rsidRPr="00663746" w:rsidRDefault="00663746" w:rsidP="00663746">
            <w:pPr>
              <w:spacing w:after="0" w:line="240" w:lineRule="auto"/>
              <w:jc w:val="right"/>
              <w:rPr>
                <w:rFonts w:ascii="Times New Roman" w:eastAsia="Times New Roman" w:hAnsi="Times New Roman" w:cs="Times New Roman"/>
                <w:color w:val="000000"/>
                <w:kern w:val="0"/>
                <w:lang w:eastAsia="sk-SK"/>
                <w14:ligatures w14:val="none"/>
              </w:rPr>
            </w:pPr>
            <w:r w:rsidRPr="00663746">
              <w:rPr>
                <w:rFonts w:ascii="Times New Roman" w:eastAsia="Times New Roman" w:hAnsi="Times New Roman" w:cs="Times New Roman"/>
                <w:color w:val="000000"/>
                <w:kern w:val="0"/>
                <w:lang w:eastAsia="sk-SK"/>
                <w14:ligatures w14:val="none"/>
              </w:rPr>
              <w:t>5,16%</w:t>
            </w:r>
          </w:p>
        </w:tc>
      </w:tr>
      <w:tr w:rsidR="00663746" w:rsidRPr="00663746" w14:paraId="6E1E4CF7" w14:textId="77777777" w:rsidTr="00663746">
        <w:trPr>
          <w:trHeight w:val="255"/>
        </w:trPr>
        <w:tc>
          <w:tcPr>
            <w:tcW w:w="8398" w:type="dxa"/>
            <w:gridSpan w:val="2"/>
            <w:tcBorders>
              <w:top w:val="single" w:sz="8" w:space="0" w:color="auto"/>
              <w:left w:val="nil"/>
              <w:bottom w:val="nil"/>
              <w:right w:val="nil"/>
            </w:tcBorders>
            <w:shd w:val="clear" w:color="auto" w:fill="auto"/>
            <w:vAlign w:val="center"/>
            <w:hideMark/>
          </w:tcPr>
          <w:p w14:paraId="36E44455" w14:textId="77777777" w:rsidR="00663746" w:rsidRPr="00663746" w:rsidRDefault="00663746" w:rsidP="00663746">
            <w:pPr>
              <w:spacing w:after="0" w:line="240" w:lineRule="auto"/>
              <w:jc w:val="right"/>
              <w:rPr>
                <w:rFonts w:ascii="Times New Roman" w:eastAsia="Times New Roman" w:hAnsi="Times New Roman" w:cs="Times New Roman"/>
                <w:i/>
                <w:iCs/>
                <w:color w:val="000000"/>
                <w:kern w:val="0"/>
                <w:lang w:eastAsia="sk-SK"/>
                <w14:ligatures w14:val="none"/>
              </w:rPr>
            </w:pPr>
            <w:r w:rsidRPr="00663746">
              <w:rPr>
                <w:rFonts w:ascii="Times New Roman" w:eastAsia="Times New Roman" w:hAnsi="Times New Roman" w:cs="Times New Roman"/>
                <w:i/>
                <w:iCs/>
                <w:color w:val="000000"/>
                <w:kern w:val="0"/>
                <w:lang w:eastAsia="sk-SK"/>
                <w14:ligatures w14:val="none"/>
              </w:rPr>
              <w:t>Zdroj: MZ SR, MF SR</w:t>
            </w:r>
          </w:p>
        </w:tc>
      </w:tr>
    </w:tbl>
    <w:p w14:paraId="0E0CE8CC" w14:textId="77777777" w:rsidR="00663746" w:rsidRPr="00EB6D39" w:rsidRDefault="00663746" w:rsidP="00663746">
      <w:pPr>
        <w:pStyle w:val="p1"/>
        <w:jc w:val="both"/>
        <w:rPr>
          <w:rFonts w:ascii="Times New Roman" w:eastAsiaTheme="minorEastAsia" w:hAnsi="Times New Roman"/>
          <w:color w:val="auto"/>
          <w:sz w:val="24"/>
          <w:szCs w:val="24"/>
          <w:lang w:eastAsia="en-US"/>
        </w:rPr>
      </w:pPr>
    </w:p>
    <w:p w14:paraId="6CF9844A" w14:textId="77777777" w:rsidR="003F6971" w:rsidRDefault="003F6971" w:rsidP="006032E7">
      <w:pPr>
        <w:pStyle w:val="p1"/>
        <w:jc w:val="both"/>
        <w:rPr>
          <w:rFonts w:ascii="Times New Roman" w:eastAsiaTheme="minorEastAsia" w:hAnsi="Times New Roman"/>
          <w:b/>
          <w:bCs/>
          <w:color w:val="auto"/>
          <w:sz w:val="24"/>
          <w:szCs w:val="24"/>
          <w:lang w:eastAsia="en-US"/>
        </w:rPr>
      </w:pPr>
    </w:p>
    <w:p w14:paraId="153A55B5" w14:textId="22994505" w:rsidR="006032E7" w:rsidRPr="00EB6D39" w:rsidRDefault="006032E7" w:rsidP="006032E7">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lastRenderedPageBreak/>
        <w:t>Rast výdavkov verejného zdravotného poistenia bez zmien politík</w:t>
      </w:r>
    </w:p>
    <w:p w14:paraId="79F6CD8D" w14:textId="77777777" w:rsidR="006032E7" w:rsidRPr="00EB6D39" w:rsidRDefault="006032E7" w:rsidP="006032E7">
      <w:pPr>
        <w:pStyle w:val="p1"/>
        <w:jc w:val="both"/>
        <w:rPr>
          <w:rFonts w:ascii="Times New Roman" w:eastAsiaTheme="minorEastAsia" w:hAnsi="Times New Roman"/>
          <w:color w:val="auto"/>
          <w:sz w:val="24"/>
          <w:szCs w:val="24"/>
          <w:lang w:eastAsia="en-US"/>
        </w:rPr>
      </w:pPr>
    </w:p>
    <w:p w14:paraId="28012EC2" w14:textId="4BD0DCAC" w:rsidR="00AD5015" w:rsidRPr="00EB6D39" w:rsidRDefault="006032E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Bez toho, že by sa prijali akékoľvek opatrenia, výdavky VZP porastú o vyše </w:t>
      </w:r>
      <w:r w:rsidR="00D6028D" w:rsidRPr="00EB6D39">
        <w:rPr>
          <w:rFonts w:ascii="Times New Roman" w:eastAsiaTheme="minorEastAsia" w:hAnsi="Times New Roman"/>
          <w:color w:val="auto"/>
          <w:sz w:val="24"/>
          <w:szCs w:val="24"/>
          <w:lang w:eastAsia="en-US"/>
        </w:rPr>
        <w:t xml:space="preserve">514 </w:t>
      </w:r>
      <w:r w:rsidRPr="00EB6D39">
        <w:rPr>
          <w:rFonts w:ascii="Times New Roman" w:eastAsiaTheme="minorEastAsia" w:hAnsi="Times New Roman"/>
          <w:color w:val="auto"/>
          <w:sz w:val="24"/>
          <w:szCs w:val="24"/>
          <w:lang w:eastAsia="en-US"/>
        </w:rPr>
        <w:t xml:space="preserve">mil. eur, ide o takzvaný NPC scenár rastu výdavkov (no </w:t>
      </w:r>
      <w:proofErr w:type="spellStart"/>
      <w:r w:rsidRPr="00EB6D39">
        <w:rPr>
          <w:rFonts w:ascii="Times New Roman" w:eastAsiaTheme="minorEastAsia" w:hAnsi="Times New Roman"/>
          <w:color w:val="auto"/>
          <w:sz w:val="24"/>
          <w:szCs w:val="24"/>
          <w:lang w:eastAsia="en-US"/>
        </w:rPr>
        <w:t>policy</w:t>
      </w:r>
      <w:proofErr w:type="spellEnd"/>
      <w:r w:rsidRPr="00EB6D39">
        <w:rPr>
          <w:rFonts w:ascii="Times New Roman" w:eastAsiaTheme="minorEastAsia" w:hAnsi="Times New Roman"/>
          <w:color w:val="auto"/>
          <w:sz w:val="24"/>
          <w:szCs w:val="24"/>
          <w:lang w:eastAsia="en-US"/>
        </w:rPr>
        <w:t xml:space="preserve"> change) (suma sa skladá zo sumy 55 mil. eur na lieky, 389 mil. eur na mzdy, 70 mil. eur na starnutie). Navrhovaný rozpočet tento prirodzený nárast v plnej miere</w:t>
      </w:r>
      <w:r w:rsidR="00D6028D" w:rsidRPr="00EB6D39">
        <w:rPr>
          <w:rFonts w:ascii="Times New Roman" w:eastAsiaTheme="minorEastAsia" w:hAnsi="Times New Roman"/>
          <w:color w:val="auto"/>
          <w:sz w:val="24"/>
          <w:szCs w:val="24"/>
          <w:lang w:eastAsia="en-US"/>
        </w:rPr>
        <w:t>, okrem inflácie,</w:t>
      </w:r>
      <w:r w:rsidRPr="00EB6D39">
        <w:rPr>
          <w:rFonts w:ascii="Times New Roman" w:eastAsiaTheme="minorEastAsia" w:hAnsi="Times New Roman"/>
          <w:color w:val="auto"/>
          <w:sz w:val="24"/>
          <w:szCs w:val="24"/>
          <w:lang w:eastAsia="en-US"/>
        </w:rPr>
        <w:t xml:space="preserve"> zohľadňuje avšak až po zohľadnení úsporných opatrení. Najväčší prírastok je spôsobený rastom miezd v sektore (tzv. valorizáciou miezd), následne sú to lieky a zdravotnícke pomôcky a starnutie.</w:t>
      </w:r>
    </w:p>
    <w:p w14:paraId="57D7176C" w14:textId="77777777" w:rsidR="003F6971" w:rsidRDefault="003F6971" w:rsidP="003F6971">
      <w:pPr>
        <w:rPr>
          <w:rFonts w:ascii="Times New Roman" w:eastAsiaTheme="minorEastAsia" w:hAnsi="Times New Roman"/>
          <w:b/>
          <w:bCs/>
          <w:sz w:val="24"/>
          <w:szCs w:val="24"/>
        </w:rPr>
      </w:pPr>
    </w:p>
    <w:p w14:paraId="45648454" w14:textId="3B5502EB" w:rsidR="00A01BDC" w:rsidRPr="00EB6D39" w:rsidRDefault="00A01BDC" w:rsidP="003F6971">
      <w:pPr>
        <w:rPr>
          <w:rFonts w:ascii="Times New Roman" w:eastAsiaTheme="minorEastAsia" w:hAnsi="Times New Roman"/>
          <w:b/>
          <w:bCs/>
          <w:sz w:val="24"/>
          <w:szCs w:val="24"/>
        </w:rPr>
      </w:pPr>
      <w:r w:rsidRPr="00EB6D39">
        <w:rPr>
          <w:rFonts w:ascii="Times New Roman" w:eastAsiaTheme="minorEastAsia" w:hAnsi="Times New Roman"/>
          <w:b/>
          <w:bCs/>
          <w:sz w:val="24"/>
          <w:szCs w:val="24"/>
        </w:rPr>
        <w:t>Zmeny politík</w:t>
      </w:r>
    </w:p>
    <w:p w14:paraId="68D1ACD1" w14:textId="35E4E092" w:rsidR="000E5BA2" w:rsidRPr="00EB6D39" w:rsidRDefault="000E5BA2" w:rsidP="00EB6D39">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rámci schválených legislatívnych zmien je nevyhnutné definovať aj scenár so zmenami politík (tzv. PC), ktorý sa skladá z 2 zložiek. Prvou sú dopady vyplývajúce z legislatívnych zmien, kategorizácie liekov a úpravy cenových opatrení MZSR. Druhou zložkou je alokácia smerujúca k zabezpečeniu priorít zdravotnej politiky štátu. V tomto prípade ide o podporu nového zoznamu zdravotných výkonov, ďalšej kategorizácie liekov a zdravotných pomôcok a</w:t>
      </w:r>
      <w:r w:rsidR="009F63D9" w:rsidRPr="00EB6D39">
        <w:rPr>
          <w:rFonts w:ascii="Times New Roman" w:eastAsiaTheme="minorEastAsia" w:hAnsi="Times New Roman"/>
          <w:color w:val="auto"/>
          <w:sz w:val="24"/>
          <w:szCs w:val="24"/>
          <w:lang w:eastAsia="en-US"/>
        </w:rPr>
        <w:t> krytie dodatočných výdavkov spojených s nárastom objemu cezhraničnej zdravotnej starostlivosti.</w:t>
      </w:r>
    </w:p>
    <w:p w14:paraId="0FB050B7" w14:textId="77777777" w:rsidR="003F6971" w:rsidRDefault="003F6971" w:rsidP="00A01BDC">
      <w:pPr>
        <w:pStyle w:val="p1"/>
        <w:jc w:val="both"/>
        <w:rPr>
          <w:rFonts w:ascii="Times New Roman" w:hAnsi="Times New Roman"/>
          <w:b/>
          <w:bCs/>
          <w:color w:val="auto"/>
        </w:rPr>
      </w:pPr>
    </w:p>
    <w:p w14:paraId="31C7D8F3" w14:textId="17E9722E" w:rsidR="009F63D9" w:rsidRPr="00663746" w:rsidRDefault="00A01BDC" w:rsidP="00A01BDC">
      <w:pPr>
        <w:pStyle w:val="p1"/>
        <w:jc w:val="both"/>
        <w:rPr>
          <w:rFonts w:ascii="Times New Roman" w:eastAsiaTheme="minorEastAsia" w:hAnsi="Times New Roman"/>
          <w:color w:val="auto"/>
          <w:sz w:val="22"/>
          <w:szCs w:val="22"/>
          <w:lang w:eastAsia="en-US"/>
        </w:rPr>
      </w:pPr>
      <w:r w:rsidRPr="00663746">
        <w:rPr>
          <w:rFonts w:ascii="Times New Roman" w:hAnsi="Times New Roman"/>
          <w:b/>
          <w:bCs/>
          <w:color w:val="auto"/>
          <w:sz w:val="22"/>
          <w:szCs w:val="22"/>
        </w:rPr>
        <w:t xml:space="preserve">Tabuľka </w:t>
      </w:r>
      <w:r w:rsidR="003F6971" w:rsidRPr="00663746">
        <w:rPr>
          <w:rFonts w:ascii="Times New Roman" w:hAnsi="Times New Roman"/>
          <w:b/>
          <w:bCs/>
          <w:color w:val="auto"/>
          <w:sz w:val="22"/>
          <w:szCs w:val="22"/>
        </w:rPr>
        <w:t>6</w:t>
      </w:r>
      <w:r w:rsidRPr="00663746">
        <w:rPr>
          <w:rFonts w:ascii="Times New Roman" w:hAnsi="Times New Roman"/>
          <w:b/>
          <w:bCs/>
          <w:color w:val="auto"/>
          <w:sz w:val="22"/>
          <w:szCs w:val="22"/>
        </w:rPr>
        <w:t>: Zmeny politík I</w:t>
      </w:r>
    </w:p>
    <w:tbl>
      <w:tblPr>
        <w:tblW w:w="9356" w:type="dxa"/>
        <w:tblCellMar>
          <w:left w:w="70" w:type="dxa"/>
          <w:right w:w="70" w:type="dxa"/>
        </w:tblCellMar>
        <w:tblLook w:val="04A0" w:firstRow="1" w:lastRow="0" w:firstColumn="1" w:lastColumn="0" w:noHBand="0" w:noVBand="1"/>
      </w:tblPr>
      <w:tblGrid>
        <w:gridCol w:w="590"/>
        <w:gridCol w:w="4939"/>
        <w:gridCol w:w="1275"/>
        <w:gridCol w:w="1276"/>
        <w:gridCol w:w="1276"/>
      </w:tblGrid>
      <w:tr w:rsidR="00EB6D39" w:rsidRPr="00EB6D39" w14:paraId="3131E9CB" w14:textId="77777777" w:rsidTr="00BA2FC4">
        <w:trPr>
          <w:trHeight w:val="543"/>
        </w:trPr>
        <w:tc>
          <w:tcPr>
            <w:tcW w:w="590" w:type="dxa"/>
            <w:tcBorders>
              <w:top w:val="nil"/>
              <w:left w:val="nil"/>
              <w:bottom w:val="nil"/>
              <w:right w:val="nil"/>
            </w:tcBorders>
            <w:shd w:val="clear" w:color="auto" w:fill="auto"/>
            <w:noWrap/>
            <w:vAlign w:val="bottom"/>
            <w:hideMark/>
          </w:tcPr>
          <w:p w14:paraId="06EE2EDE" w14:textId="77777777" w:rsidR="00A01BDC" w:rsidRPr="00EB6D39" w:rsidRDefault="00A01BDC" w:rsidP="00A01BDC">
            <w:pPr>
              <w:spacing w:after="0" w:line="240" w:lineRule="auto"/>
              <w:rPr>
                <w:rFonts w:ascii="Times New Roman" w:eastAsia="Times New Roman" w:hAnsi="Times New Roman" w:cs="Times New Roman"/>
                <w:kern w:val="0"/>
                <w:sz w:val="24"/>
                <w:szCs w:val="24"/>
                <w:lang w:eastAsia="sk-SK"/>
                <w14:ligatures w14:val="none"/>
              </w:rPr>
            </w:pPr>
          </w:p>
        </w:tc>
        <w:tc>
          <w:tcPr>
            <w:tcW w:w="4939" w:type="dxa"/>
            <w:tcBorders>
              <w:top w:val="nil"/>
              <w:left w:val="nil"/>
              <w:bottom w:val="single" w:sz="4" w:space="0" w:color="auto"/>
              <w:right w:val="single" w:sz="4" w:space="0" w:color="auto"/>
            </w:tcBorders>
            <w:shd w:val="clear" w:color="auto" w:fill="auto"/>
            <w:noWrap/>
            <w:vAlign w:val="bottom"/>
            <w:hideMark/>
          </w:tcPr>
          <w:p w14:paraId="7A88B204" w14:textId="77777777" w:rsidR="00A01BDC" w:rsidRPr="00EB6D39" w:rsidRDefault="00A01BDC" w:rsidP="00A01BDC">
            <w:pPr>
              <w:spacing w:after="0" w:line="240" w:lineRule="auto"/>
              <w:rPr>
                <w:rFonts w:ascii="Times New Roman" w:eastAsia="Times New Roman" w:hAnsi="Times New Roman" w:cs="Times New Roman"/>
                <w:kern w:val="0"/>
                <w:sz w:val="20"/>
                <w:szCs w:val="20"/>
                <w:lang w:eastAsia="sk-SK"/>
                <w14:ligatures w14:val="none"/>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224C92" w14:textId="77777777" w:rsidR="00A01BDC" w:rsidRPr="00EB6D39" w:rsidRDefault="00A01BDC" w:rsidP="00A01BDC">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ROK 2025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3E06676" w14:textId="77777777" w:rsidR="00A01BDC" w:rsidRPr="00EB6D39" w:rsidRDefault="00A01BDC" w:rsidP="00A01BDC">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zahrnuté v mzdách</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C7AC83" w14:textId="77777777" w:rsidR="00A01BDC" w:rsidRPr="00EB6D39" w:rsidRDefault="00A01BDC" w:rsidP="00A01BDC">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čistá zmena politík</w:t>
            </w:r>
          </w:p>
        </w:tc>
      </w:tr>
      <w:tr w:rsidR="00EB6D39" w:rsidRPr="00EB6D39" w14:paraId="4622F5E0" w14:textId="77777777" w:rsidTr="00BA2FC4">
        <w:trPr>
          <w:trHeight w:val="302"/>
        </w:trPr>
        <w:tc>
          <w:tcPr>
            <w:tcW w:w="590" w:type="dxa"/>
            <w:tcBorders>
              <w:top w:val="nil"/>
              <w:left w:val="nil"/>
              <w:bottom w:val="nil"/>
              <w:right w:val="single" w:sz="4" w:space="0" w:color="auto"/>
            </w:tcBorders>
            <w:shd w:val="clear" w:color="auto" w:fill="auto"/>
            <w:noWrap/>
            <w:vAlign w:val="bottom"/>
            <w:hideMark/>
          </w:tcPr>
          <w:p w14:paraId="62E2E02B" w14:textId="77777777" w:rsidR="00A01BDC" w:rsidRPr="00EB6D39" w:rsidRDefault="00A01BDC" w:rsidP="00A01BDC">
            <w:pPr>
              <w:spacing w:after="0" w:line="240" w:lineRule="auto"/>
              <w:jc w:val="center"/>
              <w:rPr>
                <w:rFonts w:ascii="Times New Roman" w:eastAsia="Times New Roman" w:hAnsi="Times New Roman" w:cs="Times New Roman"/>
                <w:b/>
                <w:bCs/>
                <w:kern w:val="0"/>
                <w:sz w:val="20"/>
                <w:szCs w:val="20"/>
                <w:lang w:eastAsia="sk-SK"/>
                <w14:ligatures w14:val="none"/>
              </w:rPr>
            </w:pPr>
          </w:p>
        </w:tc>
        <w:tc>
          <w:tcPr>
            <w:tcW w:w="493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4BEC024"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Zmena politík I - už schválené</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DDFBD9"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115 216 295</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137459"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-63 264 363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633CDE"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51 951 932</w:t>
            </w:r>
          </w:p>
        </w:tc>
      </w:tr>
      <w:tr w:rsidR="00EB6D39" w:rsidRPr="00EB6D39" w14:paraId="670495EE" w14:textId="77777777" w:rsidTr="00BA2FC4">
        <w:trPr>
          <w:trHeight w:val="252"/>
        </w:trPr>
        <w:tc>
          <w:tcPr>
            <w:tcW w:w="590" w:type="dxa"/>
            <w:tcBorders>
              <w:top w:val="nil"/>
              <w:left w:val="nil"/>
              <w:bottom w:val="nil"/>
              <w:right w:val="single" w:sz="4" w:space="0" w:color="auto"/>
            </w:tcBorders>
            <w:shd w:val="clear" w:color="auto" w:fill="auto"/>
            <w:noWrap/>
            <w:vAlign w:val="bottom"/>
            <w:hideMark/>
          </w:tcPr>
          <w:p w14:paraId="463F7B6D"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w:t>
            </w:r>
          </w:p>
        </w:tc>
        <w:tc>
          <w:tcPr>
            <w:tcW w:w="49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6ED167"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Cenová regulácia účinná od 15.1.2025 spolu z toho</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6416DD"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42 484 816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CDE9D7"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-34 365 451</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909083"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8 119 364</w:t>
            </w:r>
          </w:p>
        </w:tc>
      </w:tr>
      <w:tr w:rsidR="00EB6D39" w:rsidRPr="00EB6D39" w14:paraId="30DA57B5" w14:textId="77777777" w:rsidTr="00BA2FC4">
        <w:trPr>
          <w:trHeight w:val="302"/>
        </w:trPr>
        <w:tc>
          <w:tcPr>
            <w:tcW w:w="590" w:type="dxa"/>
            <w:tcBorders>
              <w:top w:val="nil"/>
              <w:left w:val="nil"/>
              <w:bottom w:val="nil"/>
              <w:right w:val="single" w:sz="4" w:space="0" w:color="auto"/>
            </w:tcBorders>
            <w:shd w:val="clear" w:color="auto" w:fill="auto"/>
            <w:noWrap/>
            <w:vAlign w:val="bottom"/>
            <w:hideMark/>
          </w:tcPr>
          <w:p w14:paraId="35F8A8F9"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1.1</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77264F"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 xml:space="preserve">segment záchrannej zdravotnej služby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573F9"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15 182 412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EF80B"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-15 182 412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E76A5"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1A4D6F07" w14:textId="77777777" w:rsidTr="00BA2FC4">
        <w:trPr>
          <w:trHeight w:val="241"/>
        </w:trPr>
        <w:tc>
          <w:tcPr>
            <w:tcW w:w="590" w:type="dxa"/>
            <w:tcBorders>
              <w:top w:val="nil"/>
              <w:left w:val="nil"/>
              <w:bottom w:val="nil"/>
              <w:right w:val="single" w:sz="4" w:space="0" w:color="auto"/>
            </w:tcBorders>
            <w:shd w:val="clear" w:color="auto" w:fill="auto"/>
            <w:noWrap/>
            <w:vAlign w:val="bottom"/>
            <w:hideMark/>
          </w:tcPr>
          <w:p w14:paraId="43638455"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1.2.</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D898F4"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 xml:space="preserve">segment vrtuľníkovej a leteckej záchrannej zdravotnej služby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0ADF2"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747 096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CDE692"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-747 096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337B8"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117CE77A" w14:textId="77777777" w:rsidTr="00BA2FC4">
        <w:trPr>
          <w:trHeight w:val="273"/>
        </w:trPr>
        <w:tc>
          <w:tcPr>
            <w:tcW w:w="590" w:type="dxa"/>
            <w:tcBorders>
              <w:top w:val="nil"/>
              <w:left w:val="nil"/>
              <w:bottom w:val="nil"/>
              <w:right w:val="single" w:sz="4" w:space="0" w:color="auto"/>
            </w:tcBorders>
            <w:shd w:val="clear" w:color="auto" w:fill="auto"/>
            <w:noWrap/>
            <w:vAlign w:val="bottom"/>
            <w:hideMark/>
          </w:tcPr>
          <w:p w14:paraId="27A92993"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1.3.</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CB190"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segment urgentných príjmov</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4ADE4"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6 567 257</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2FCFBA"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-6 567 257</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112D9"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216DCEC7" w14:textId="77777777" w:rsidTr="00BA2FC4">
        <w:trPr>
          <w:trHeight w:val="279"/>
        </w:trPr>
        <w:tc>
          <w:tcPr>
            <w:tcW w:w="590" w:type="dxa"/>
            <w:tcBorders>
              <w:top w:val="nil"/>
              <w:left w:val="nil"/>
              <w:bottom w:val="nil"/>
              <w:right w:val="single" w:sz="4" w:space="0" w:color="auto"/>
            </w:tcBorders>
            <w:shd w:val="clear" w:color="auto" w:fill="auto"/>
            <w:noWrap/>
            <w:vAlign w:val="bottom"/>
            <w:hideMark/>
          </w:tcPr>
          <w:p w14:paraId="7FC8E239"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1.4.</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9B99AB"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segment zariadení sociálnej pomoci</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323CA"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2 453 167</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0E116"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-2 453 167</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7E7A1"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47B5170B" w14:textId="77777777" w:rsidTr="00BA2FC4">
        <w:trPr>
          <w:trHeight w:val="267"/>
        </w:trPr>
        <w:tc>
          <w:tcPr>
            <w:tcW w:w="590" w:type="dxa"/>
            <w:tcBorders>
              <w:top w:val="nil"/>
              <w:left w:val="nil"/>
              <w:bottom w:val="nil"/>
              <w:right w:val="single" w:sz="4" w:space="0" w:color="auto"/>
            </w:tcBorders>
            <w:shd w:val="clear" w:color="auto" w:fill="auto"/>
            <w:noWrap/>
            <w:vAlign w:val="bottom"/>
            <w:hideMark/>
          </w:tcPr>
          <w:p w14:paraId="0CA2601F"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E2A3D"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segment paliatívnej starostlivosti a ošetrovateľskej starostlivosti</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7455B"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17 534 883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EC9877"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-9 415 519</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1CFFE"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8 119 364</w:t>
            </w:r>
          </w:p>
        </w:tc>
      </w:tr>
      <w:tr w:rsidR="00EB6D39" w:rsidRPr="00EB6D39" w14:paraId="1EAAA392" w14:textId="77777777" w:rsidTr="00BA2FC4">
        <w:trPr>
          <w:trHeight w:val="302"/>
        </w:trPr>
        <w:tc>
          <w:tcPr>
            <w:tcW w:w="590" w:type="dxa"/>
            <w:tcBorders>
              <w:top w:val="nil"/>
              <w:left w:val="nil"/>
              <w:bottom w:val="nil"/>
              <w:right w:val="single" w:sz="4" w:space="0" w:color="auto"/>
            </w:tcBorders>
            <w:shd w:val="clear" w:color="auto" w:fill="auto"/>
            <w:noWrap/>
            <w:vAlign w:val="bottom"/>
            <w:hideMark/>
          </w:tcPr>
          <w:p w14:paraId="0941DDB0"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w:t>
            </w:r>
          </w:p>
        </w:tc>
        <w:tc>
          <w:tcPr>
            <w:tcW w:w="49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25080"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Dopady LOZ zákona spolu z toho</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3714BF"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28 221 754</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23997C"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-28 221 754</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C4096D"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0</w:t>
            </w:r>
          </w:p>
        </w:tc>
      </w:tr>
      <w:tr w:rsidR="00EB6D39" w:rsidRPr="00EB6D39" w14:paraId="513F8856" w14:textId="77777777" w:rsidTr="00BA2FC4">
        <w:trPr>
          <w:trHeight w:val="533"/>
        </w:trPr>
        <w:tc>
          <w:tcPr>
            <w:tcW w:w="590" w:type="dxa"/>
            <w:tcBorders>
              <w:top w:val="nil"/>
              <w:left w:val="nil"/>
              <w:bottom w:val="nil"/>
              <w:right w:val="single" w:sz="4" w:space="0" w:color="auto"/>
            </w:tcBorders>
            <w:shd w:val="clear" w:color="auto" w:fill="auto"/>
            <w:noWrap/>
            <w:vAlign w:val="bottom"/>
            <w:hideMark/>
          </w:tcPr>
          <w:p w14:paraId="1351CD04"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2.1.</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32D60A"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Doba skrátenia pracovnej doby zo 40 hodinového týždenného pracovného času na 37 ½ hodiny</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A1153"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4 398 198</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7993C"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-4 398 198</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0E64D7"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090D8DAB" w14:textId="77777777" w:rsidTr="00BA2FC4">
        <w:trPr>
          <w:trHeight w:val="255"/>
        </w:trPr>
        <w:tc>
          <w:tcPr>
            <w:tcW w:w="590" w:type="dxa"/>
            <w:tcBorders>
              <w:top w:val="nil"/>
              <w:left w:val="nil"/>
              <w:bottom w:val="nil"/>
              <w:right w:val="single" w:sz="4" w:space="0" w:color="auto"/>
            </w:tcBorders>
            <w:shd w:val="clear" w:color="auto" w:fill="auto"/>
            <w:noWrap/>
            <w:vAlign w:val="bottom"/>
            <w:hideMark/>
          </w:tcPr>
          <w:p w14:paraId="0D5E2B3B"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2.2.</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AD1DB2"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Zvýšenie miezd zdravotníckych pracovníkov z 6,44% na 9,66%</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591666"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23 823 556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BD0DB6"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-23 823 556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3E3F9"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r>
      <w:tr w:rsidR="00EB6D39" w:rsidRPr="00EB6D39" w14:paraId="6301B3FB" w14:textId="77777777" w:rsidTr="00BA2FC4">
        <w:trPr>
          <w:trHeight w:val="263"/>
        </w:trPr>
        <w:tc>
          <w:tcPr>
            <w:tcW w:w="590" w:type="dxa"/>
            <w:tcBorders>
              <w:top w:val="nil"/>
              <w:left w:val="nil"/>
              <w:bottom w:val="nil"/>
              <w:right w:val="single" w:sz="4" w:space="0" w:color="auto"/>
            </w:tcBorders>
            <w:shd w:val="clear" w:color="auto" w:fill="auto"/>
            <w:noWrap/>
            <w:vAlign w:val="bottom"/>
            <w:hideMark/>
          </w:tcPr>
          <w:p w14:paraId="6800942A"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3.</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40EE30"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Ambulantná pohotovostná služba - novela nariadenia vlády SR</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EACF6"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1 457 232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E2738"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-677 158</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35E9F"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780 074</w:t>
            </w:r>
          </w:p>
        </w:tc>
      </w:tr>
      <w:tr w:rsidR="00EB6D39" w:rsidRPr="00EB6D39" w14:paraId="15BB111B" w14:textId="77777777" w:rsidTr="00BA2FC4">
        <w:trPr>
          <w:trHeight w:val="302"/>
        </w:trPr>
        <w:tc>
          <w:tcPr>
            <w:tcW w:w="590" w:type="dxa"/>
            <w:tcBorders>
              <w:top w:val="nil"/>
              <w:left w:val="nil"/>
              <w:bottom w:val="nil"/>
              <w:right w:val="single" w:sz="4" w:space="0" w:color="auto"/>
            </w:tcBorders>
            <w:shd w:val="clear" w:color="auto" w:fill="auto"/>
            <w:noWrap/>
            <w:vAlign w:val="bottom"/>
            <w:hideMark/>
          </w:tcPr>
          <w:p w14:paraId="53628331"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4FD4EF" w14:textId="7502505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Lieky spolu z</w:t>
            </w:r>
            <w:r w:rsidR="000354BE" w:rsidRPr="00EB6D39">
              <w:rPr>
                <w:rFonts w:ascii="Times New Roman" w:eastAsia="Times New Roman" w:hAnsi="Times New Roman" w:cs="Times New Roman"/>
                <w:b/>
                <w:bCs/>
                <w:kern w:val="0"/>
                <w:sz w:val="20"/>
                <w:szCs w:val="20"/>
                <w:lang w:eastAsia="sk-SK"/>
                <w14:ligatures w14:val="none"/>
              </w:rPr>
              <w:t> </w:t>
            </w:r>
            <w:r w:rsidRPr="00EB6D39">
              <w:rPr>
                <w:rFonts w:ascii="Times New Roman" w:eastAsia="Times New Roman" w:hAnsi="Times New Roman" w:cs="Times New Roman"/>
                <w:b/>
                <w:bCs/>
                <w:kern w:val="0"/>
                <w:sz w:val="20"/>
                <w:szCs w:val="20"/>
                <w:lang w:eastAsia="sk-SK"/>
                <w14:ligatures w14:val="none"/>
              </w:rPr>
              <w:t>toho</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8780A"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41 457 500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1FFB5"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BA80E"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41 457 500</w:t>
            </w:r>
          </w:p>
        </w:tc>
      </w:tr>
      <w:tr w:rsidR="00EB6D39" w:rsidRPr="00EB6D39" w14:paraId="087BA106" w14:textId="77777777" w:rsidTr="00BA2FC4">
        <w:trPr>
          <w:trHeight w:val="372"/>
        </w:trPr>
        <w:tc>
          <w:tcPr>
            <w:tcW w:w="590" w:type="dxa"/>
            <w:tcBorders>
              <w:top w:val="nil"/>
              <w:left w:val="nil"/>
              <w:bottom w:val="nil"/>
              <w:right w:val="single" w:sz="4" w:space="0" w:color="auto"/>
            </w:tcBorders>
            <w:shd w:val="clear" w:color="auto" w:fill="auto"/>
            <w:noWrap/>
            <w:vAlign w:val="bottom"/>
            <w:hideMark/>
          </w:tcPr>
          <w:p w14:paraId="448C0190"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4.1.</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24D976"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Už kategorizované lieky neuznané v schválenom rozpočte</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77025"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40 457 500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5DA9C"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B08218"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40 457 500</w:t>
            </w:r>
          </w:p>
        </w:tc>
      </w:tr>
      <w:tr w:rsidR="00EB6D39" w:rsidRPr="00EB6D39" w14:paraId="0DA3B693" w14:textId="77777777" w:rsidTr="00BA2FC4">
        <w:trPr>
          <w:trHeight w:val="302"/>
        </w:trPr>
        <w:tc>
          <w:tcPr>
            <w:tcW w:w="590" w:type="dxa"/>
            <w:tcBorders>
              <w:top w:val="nil"/>
              <w:left w:val="nil"/>
              <w:bottom w:val="nil"/>
              <w:right w:val="single" w:sz="4" w:space="0" w:color="auto"/>
            </w:tcBorders>
            <w:shd w:val="clear" w:color="auto" w:fill="auto"/>
            <w:noWrap/>
            <w:vAlign w:val="bottom"/>
            <w:hideMark/>
          </w:tcPr>
          <w:p w14:paraId="09DD0F8A"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4.3.</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A9E8FE" w14:textId="77777777" w:rsidR="00A01BDC" w:rsidRPr="00EB6D39" w:rsidRDefault="00A01BDC" w:rsidP="00A01BDC">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Dietetické potraviny</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C132C"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1 000 000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8299F"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1854E"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1 000 000</w:t>
            </w:r>
          </w:p>
        </w:tc>
      </w:tr>
      <w:tr w:rsidR="00EB6D39" w:rsidRPr="00EB6D39" w14:paraId="1E635013" w14:textId="77777777" w:rsidTr="00BA2FC4">
        <w:trPr>
          <w:trHeight w:val="368"/>
        </w:trPr>
        <w:tc>
          <w:tcPr>
            <w:tcW w:w="590" w:type="dxa"/>
            <w:tcBorders>
              <w:top w:val="nil"/>
              <w:left w:val="nil"/>
              <w:bottom w:val="nil"/>
              <w:right w:val="single" w:sz="4" w:space="0" w:color="auto"/>
            </w:tcBorders>
            <w:shd w:val="clear" w:color="auto" w:fill="auto"/>
            <w:noWrap/>
            <w:vAlign w:val="bottom"/>
            <w:hideMark/>
          </w:tcPr>
          <w:p w14:paraId="5C9FEE32"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5.</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81CC9D"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 xml:space="preserve">Ošetrenie detí </w:t>
            </w:r>
            <w:proofErr w:type="spellStart"/>
            <w:r w:rsidRPr="00EB6D39">
              <w:rPr>
                <w:rFonts w:ascii="Times New Roman" w:eastAsia="Times New Roman" w:hAnsi="Times New Roman" w:cs="Times New Roman"/>
                <w:b/>
                <w:bCs/>
                <w:kern w:val="0"/>
                <w:sz w:val="20"/>
                <w:szCs w:val="20"/>
                <w:lang w:eastAsia="sk-SK"/>
                <w14:ligatures w14:val="none"/>
              </w:rPr>
              <w:t>ADOSom</w:t>
            </w:r>
            <w:proofErr w:type="spellEnd"/>
            <w:r w:rsidRPr="00EB6D39">
              <w:rPr>
                <w:rFonts w:ascii="Times New Roman" w:eastAsia="Times New Roman" w:hAnsi="Times New Roman" w:cs="Times New Roman"/>
                <w:b/>
                <w:bCs/>
                <w:kern w:val="0"/>
                <w:sz w:val="20"/>
                <w:szCs w:val="20"/>
                <w:lang w:eastAsia="sk-SK"/>
                <w14:ligatures w14:val="none"/>
              </w:rPr>
              <w:t xml:space="preserve"> doma (zákon č. 360/2024 Z. z.)</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3A077"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594 994</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FD1C4"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F328E"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594 994</w:t>
            </w:r>
          </w:p>
        </w:tc>
      </w:tr>
      <w:tr w:rsidR="00EB6D39" w:rsidRPr="00EB6D39" w14:paraId="2B757F78" w14:textId="77777777" w:rsidTr="00BA2FC4">
        <w:trPr>
          <w:trHeight w:val="272"/>
        </w:trPr>
        <w:tc>
          <w:tcPr>
            <w:tcW w:w="590" w:type="dxa"/>
            <w:tcBorders>
              <w:top w:val="nil"/>
              <w:left w:val="nil"/>
              <w:bottom w:val="nil"/>
              <w:right w:val="single" w:sz="4" w:space="0" w:color="auto"/>
            </w:tcBorders>
            <w:shd w:val="clear" w:color="auto" w:fill="auto"/>
            <w:noWrap/>
            <w:vAlign w:val="bottom"/>
            <w:hideMark/>
          </w:tcPr>
          <w:p w14:paraId="63039E40" w14:textId="77777777" w:rsidR="00A01BDC" w:rsidRPr="00EB6D39" w:rsidRDefault="00A01BDC" w:rsidP="00A01BDC">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6.</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DAE3AE" w14:textId="77777777" w:rsidR="00A01BDC" w:rsidRPr="00EB6D39" w:rsidRDefault="00A01BDC" w:rsidP="00A01BDC">
            <w:pPr>
              <w:spacing w:after="0" w:line="240" w:lineRule="auto"/>
              <w:rPr>
                <w:rFonts w:ascii="Times New Roman" w:eastAsia="Times New Roman" w:hAnsi="Times New Roman" w:cs="Times New Roman"/>
                <w:b/>
                <w:bCs/>
                <w:kern w:val="0"/>
                <w:sz w:val="20"/>
                <w:szCs w:val="20"/>
                <w:lang w:eastAsia="sk-SK"/>
                <w14:ligatures w14:val="none"/>
              </w:rPr>
            </w:pPr>
            <w:bookmarkStart w:id="3" w:name="_Hlk193656260"/>
            <w:r w:rsidRPr="00EB6D39">
              <w:rPr>
                <w:rFonts w:ascii="Times New Roman" w:eastAsia="Times New Roman" w:hAnsi="Times New Roman" w:cs="Times New Roman"/>
                <w:b/>
                <w:bCs/>
                <w:kern w:val="0"/>
                <w:sz w:val="20"/>
                <w:szCs w:val="20"/>
                <w:lang w:eastAsia="sk-SK"/>
                <w14:ligatures w14:val="none"/>
              </w:rPr>
              <w:t xml:space="preserve">Extrakcia zubu v celkovej anestézii </w:t>
            </w:r>
            <w:bookmarkEnd w:id="3"/>
            <w:r w:rsidRPr="00EB6D39">
              <w:rPr>
                <w:rFonts w:ascii="Times New Roman" w:eastAsia="Times New Roman" w:hAnsi="Times New Roman" w:cs="Times New Roman"/>
                <w:b/>
                <w:bCs/>
                <w:kern w:val="0"/>
                <w:sz w:val="20"/>
                <w:szCs w:val="20"/>
                <w:lang w:eastAsia="sk-SK"/>
                <w14:ligatures w14:val="none"/>
              </w:rPr>
              <w:t>(zákon č. 360/2024 Z. z.)</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D494E"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1 000 000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1E690"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87091D" w14:textId="77777777" w:rsidR="00A01BDC" w:rsidRPr="00EB6D39" w:rsidRDefault="00A01BDC" w:rsidP="00A01BDC">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1 000 000</w:t>
            </w:r>
          </w:p>
        </w:tc>
      </w:tr>
      <w:tr w:rsidR="00EB6D39" w:rsidRPr="00EB6D39" w14:paraId="03E4CAF7" w14:textId="77777777" w:rsidTr="00EB6D39">
        <w:trPr>
          <w:trHeight w:val="533"/>
        </w:trPr>
        <w:tc>
          <w:tcPr>
            <w:tcW w:w="590" w:type="dxa"/>
            <w:tcBorders>
              <w:top w:val="nil"/>
              <w:left w:val="nil"/>
              <w:bottom w:val="nil"/>
              <w:right w:val="single" w:sz="4" w:space="0" w:color="auto"/>
            </w:tcBorders>
            <w:shd w:val="clear" w:color="auto" w:fill="auto"/>
            <w:noWrap/>
            <w:vAlign w:val="bottom"/>
            <w:hideMark/>
          </w:tcPr>
          <w:p w14:paraId="59BD91F6"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956AF3" w14:textId="77777777" w:rsidR="006635C5" w:rsidRPr="00EB6D39" w:rsidRDefault="006635C5" w:rsidP="006635C5">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Paliatívna a ošetrovateľská starostlivosť</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34CB49" w14:textId="77777777" w:rsidR="006635C5" w:rsidRPr="00EB6D39" w:rsidRDefault="006635C5" w:rsidP="006635C5">
            <w:pPr>
              <w:spacing w:after="0" w:line="240" w:lineRule="auto"/>
              <w:jc w:val="center"/>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zvýšenie platby za celý segment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6795A6" w14:textId="77777777" w:rsidR="006635C5" w:rsidRPr="00EB6D39" w:rsidRDefault="006635C5" w:rsidP="006635C5">
            <w:pPr>
              <w:spacing w:after="0" w:line="240" w:lineRule="auto"/>
              <w:jc w:val="center"/>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nad rámec miezd</w:t>
            </w:r>
          </w:p>
        </w:tc>
      </w:tr>
      <w:tr w:rsidR="00EB6D39" w:rsidRPr="00EB6D39" w14:paraId="394DF85C"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7B4B080B"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1.5.1.</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80958C"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Hospic</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7F5BF9A"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12 119 364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C44313" w14:textId="4C109CF5" w:rsidR="006635C5" w:rsidRPr="00EB6D39" w:rsidRDefault="005F7D97"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8 119 364</w:t>
            </w:r>
          </w:p>
        </w:tc>
      </w:tr>
      <w:tr w:rsidR="00EB6D39" w:rsidRPr="00EB6D39" w14:paraId="6883295E"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7F3DADB2"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1.5.2.</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D826B"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Mobilný hospic lekár a sestra od 7.00 hod do 19.00 hod.</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EC12D58"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522 790</w:t>
            </w:r>
          </w:p>
        </w:tc>
        <w:tc>
          <w:tcPr>
            <w:tcW w:w="1276" w:type="dxa"/>
            <w:tcBorders>
              <w:top w:val="single" w:sz="4" w:space="0" w:color="auto"/>
              <w:left w:val="single" w:sz="4" w:space="0" w:color="auto"/>
              <w:bottom w:val="nil"/>
              <w:right w:val="nil"/>
            </w:tcBorders>
            <w:shd w:val="clear" w:color="auto" w:fill="auto"/>
            <w:noWrap/>
            <w:vAlign w:val="center"/>
            <w:hideMark/>
          </w:tcPr>
          <w:p w14:paraId="33F56728"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4B53475D" w14:textId="77777777" w:rsidTr="00EB6D39">
        <w:trPr>
          <w:trHeight w:val="533"/>
        </w:trPr>
        <w:tc>
          <w:tcPr>
            <w:tcW w:w="590" w:type="dxa"/>
            <w:tcBorders>
              <w:top w:val="nil"/>
              <w:left w:val="nil"/>
              <w:bottom w:val="nil"/>
              <w:right w:val="single" w:sz="4" w:space="0" w:color="auto"/>
            </w:tcBorders>
            <w:shd w:val="clear" w:color="auto" w:fill="auto"/>
            <w:noWrap/>
            <w:vAlign w:val="bottom"/>
            <w:hideMark/>
          </w:tcPr>
          <w:p w14:paraId="0AD6F210"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1.5.3.</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110D67"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Mobilný hospic lekár a sestra od 19.00 hod do 7.00 hod., víkend, sviatky</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03C0E18"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99 309</w:t>
            </w:r>
          </w:p>
        </w:tc>
        <w:tc>
          <w:tcPr>
            <w:tcW w:w="1276" w:type="dxa"/>
            <w:tcBorders>
              <w:top w:val="nil"/>
              <w:left w:val="single" w:sz="4" w:space="0" w:color="auto"/>
              <w:bottom w:val="nil"/>
              <w:right w:val="nil"/>
            </w:tcBorders>
            <w:shd w:val="clear" w:color="auto" w:fill="auto"/>
            <w:noWrap/>
            <w:vAlign w:val="center"/>
            <w:hideMark/>
          </w:tcPr>
          <w:p w14:paraId="4AF59B4A"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5DB677BB"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54E5A0B0"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lastRenderedPageBreak/>
              <w:t>1.5.4.</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525AFB"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Mobilný hospic sestra od 7.00 hod do 19.00 hod.</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A78F6E5"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454 508</w:t>
            </w:r>
          </w:p>
        </w:tc>
        <w:tc>
          <w:tcPr>
            <w:tcW w:w="1276" w:type="dxa"/>
            <w:tcBorders>
              <w:top w:val="nil"/>
              <w:left w:val="single" w:sz="4" w:space="0" w:color="auto"/>
              <w:bottom w:val="nil"/>
              <w:right w:val="nil"/>
            </w:tcBorders>
            <w:shd w:val="clear" w:color="auto" w:fill="auto"/>
            <w:noWrap/>
            <w:vAlign w:val="center"/>
            <w:hideMark/>
          </w:tcPr>
          <w:p w14:paraId="6DA4935E"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7A927F57"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3C1C2111"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1.5.5.</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2D64BE"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Mobilný hospic sestra od 19.00 hod do 7.00 hod., víkend, sviatky</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E7E7F26"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87 849</w:t>
            </w:r>
          </w:p>
        </w:tc>
        <w:tc>
          <w:tcPr>
            <w:tcW w:w="1276" w:type="dxa"/>
            <w:tcBorders>
              <w:top w:val="nil"/>
              <w:left w:val="single" w:sz="4" w:space="0" w:color="auto"/>
              <w:bottom w:val="nil"/>
              <w:right w:val="nil"/>
            </w:tcBorders>
            <w:shd w:val="clear" w:color="auto" w:fill="auto"/>
            <w:noWrap/>
            <w:vAlign w:val="center"/>
            <w:hideMark/>
          </w:tcPr>
          <w:p w14:paraId="65E0C27F"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537C6F70" w14:textId="77777777" w:rsidTr="00EB6D39">
        <w:trPr>
          <w:trHeight w:val="533"/>
        </w:trPr>
        <w:tc>
          <w:tcPr>
            <w:tcW w:w="590" w:type="dxa"/>
            <w:tcBorders>
              <w:top w:val="nil"/>
              <w:left w:val="nil"/>
              <w:bottom w:val="nil"/>
              <w:right w:val="single" w:sz="4" w:space="0" w:color="auto"/>
            </w:tcBorders>
            <w:shd w:val="clear" w:color="auto" w:fill="auto"/>
            <w:noWrap/>
            <w:vAlign w:val="bottom"/>
            <w:hideMark/>
          </w:tcPr>
          <w:p w14:paraId="612C1A73"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1.5.6.</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FF92B4"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Sledovanie a kontrolovanie klinického stavu osoby s trvalou potrebou umelej pľúcnej ventilácie</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EABF6EE"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19 712</w:t>
            </w:r>
          </w:p>
        </w:tc>
        <w:tc>
          <w:tcPr>
            <w:tcW w:w="1276" w:type="dxa"/>
            <w:tcBorders>
              <w:top w:val="nil"/>
              <w:left w:val="single" w:sz="4" w:space="0" w:color="auto"/>
              <w:bottom w:val="nil"/>
              <w:right w:val="nil"/>
            </w:tcBorders>
            <w:shd w:val="clear" w:color="auto" w:fill="auto"/>
            <w:noWrap/>
            <w:vAlign w:val="center"/>
            <w:hideMark/>
          </w:tcPr>
          <w:p w14:paraId="162CE5E6"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4FF8B92E"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67CBEF15"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1.5.7.</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FD8D7"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Agentúra domácej ošetrovateľskej starostlivosti doprava</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04E6C46"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3 030 942</w:t>
            </w:r>
          </w:p>
        </w:tc>
        <w:tc>
          <w:tcPr>
            <w:tcW w:w="1276" w:type="dxa"/>
            <w:tcBorders>
              <w:top w:val="nil"/>
              <w:left w:val="single" w:sz="4" w:space="0" w:color="auto"/>
              <w:bottom w:val="nil"/>
              <w:right w:val="nil"/>
            </w:tcBorders>
            <w:shd w:val="clear" w:color="auto" w:fill="auto"/>
            <w:noWrap/>
            <w:vAlign w:val="center"/>
            <w:hideMark/>
          </w:tcPr>
          <w:p w14:paraId="4B9C8DCC"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2BB3AEC9"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13E4ED09"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1.5.8.</w:t>
            </w: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62525"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Dom ošetrovateľskej starostlivosti</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9ABE317"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1 200 409</w:t>
            </w:r>
          </w:p>
        </w:tc>
        <w:tc>
          <w:tcPr>
            <w:tcW w:w="1276" w:type="dxa"/>
            <w:tcBorders>
              <w:top w:val="nil"/>
              <w:left w:val="single" w:sz="4" w:space="0" w:color="auto"/>
              <w:bottom w:val="nil"/>
              <w:right w:val="nil"/>
            </w:tcBorders>
            <w:shd w:val="clear" w:color="auto" w:fill="auto"/>
            <w:noWrap/>
            <w:vAlign w:val="center"/>
            <w:hideMark/>
          </w:tcPr>
          <w:p w14:paraId="5233E3B6"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r w:rsidR="00EB6D39" w:rsidRPr="00EB6D39" w14:paraId="7407BE24" w14:textId="77777777" w:rsidTr="00EB6D39">
        <w:trPr>
          <w:trHeight w:val="271"/>
        </w:trPr>
        <w:tc>
          <w:tcPr>
            <w:tcW w:w="590" w:type="dxa"/>
            <w:tcBorders>
              <w:top w:val="nil"/>
              <w:left w:val="nil"/>
              <w:bottom w:val="nil"/>
              <w:right w:val="single" w:sz="4" w:space="0" w:color="auto"/>
            </w:tcBorders>
            <w:shd w:val="clear" w:color="auto" w:fill="auto"/>
            <w:noWrap/>
            <w:vAlign w:val="bottom"/>
            <w:hideMark/>
          </w:tcPr>
          <w:p w14:paraId="27451D8D"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c>
          <w:tcPr>
            <w:tcW w:w="49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8B7D78" w14:textId="77777777" w:rsidR="006635C5" w:rsidRPr="00EB6D39" w:rsidRDefault="006635C5" w:rsidP="006635C5">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Spolu</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F5936DD"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17 534 883</w:t>
            </w:r>
          </w:p>
        </w:tc>
        <w:tc>
          <w:tcPr>
            <w:tcW w:w="1276" w:type="dxa"/>
            <w:tcBorders>
              <w:top w:val="nil"/>
              <w:left w:val="single" w:sz="4" w:space="0" w:color="auto"/>
              <w:bottom w:val="nil"/>
              <w:right w:val="nil"/>
            </w:tcBorders>
            <w:shd w:val="clear" w:color="auto" w:fill="auto"/>
            <w:noWrap/>
            <w:vAlign w:val="center"/>
            <w:hideMark/>
          </w:tcPr>
          <w:p w14:paraId="1C9AA70F" w14:textId="77777777" w:rsidR="006635C5" w:rsidRPr="00EB6D39" w:rsidRDefault="006635C5" w:rsidP="006635C5">
            <w:pPr>
              <w:spacing w:after="0" w:line="240" w:lineRule="auto"/>
              <w:jc w:val="right"/>
              <w:rPr>
                <w:rFonts w:ascii="Times New Roman" w:eastAsia="Times New Roman" w:hAnsi="Times New Roman" w:cs="Times New Roman"/>
                <w:kern w:val="0"/>
                <w:sz w:val="20"/>
                <w:szCs w:val="20"/>
                <w:lang w:eastAsia="sk-SK"/>
                <w14:ligatures w14:val="none"/>
              </w:rPr>
            </w:pPr>
          </w:p>
        </w:tc>
      </w:tr>
    </w:tbl>
    <w:p w14:paraId="7068E4FB" w14:textId="77777777" w:rsidR="00A01BDC" w:rsidRPr="00EB6D39" w:rsidRDefault="00A01BDC" w:rsidP="006032E7">
      <w:pPr>
        <w:pStyle w:val="p1"/>
        <w:jc w:val="both"/>
        <w:rPr>
          <w:rFonts w:ascii="Times New Roman" w:eastAsiaTheme="minorEastAsia" w:hAnsi="Times New Roman"/>
          <w:b/>
          <w:bCs/>
          <w:color w:val="auto"/>
          <w:sz w:val="24"/>
          <w:szCs w:val="24"/>
          <w:lang w:eastAsia="en-US"/>
        </w:rPr>
      </w:pPr>
    </w:p>
    <w:p w14:paraId="4EBA1004" w14:textId="77777777" w:rsidR="00663746" w:rsidRDefault="00663746" w:rsidP="003344B0">
      <w:pPr>
        <w:pStyle w:val="p1"/>
        <w:jc w:val="both"/>
        <w:rPr>
          <w:rFonts w:ascii="Times New Roman" w:eastAsiaTheme="minorEastAsia" w:hAnsi="Times New Roman"/>
          <w:color w:val="auto"/>
          <w:sz w:val="24"/>
          <w:szCs w:val="24"/>
        </w:rPr>
      </w:pPr>
    </w:p>
    <w:p w14:paraId="032F6BB7" w14:textId="473B7310" w:rsidR="009E527B" w:rsidRPr="00EB6D39" w:rsidRDefault="009E527B" w:rsidP="003344B0">
      <w:pPr>
        <w:pStyle w:val="p1"/>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Dopad cenového opatrenia:</w:t>
      </w:r>
    </w:p>
    <w:p w14:paraId="5F78E53F" w14:textId="77777777" w:rsidR="00BA2FC4" w:rsidRPr="00EB6D39" w:rsidRDefault="009E527B" w:rsidP="00EB6D39">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 xml:space="preserve">Hospice - zvýšené finančné výdavky verejného zdravotného poistenia pre roky 2025 až 2027 </w:t>
      </w:r>
      <w:r w:rsidR="005F7D97" w:rsidRPr="00EB6D39">
        <w:rPr>
          <w:rFonts w:ascii="Times New Roman" w:eastAsiaTheme="minorEastAsia" w:hAnsi="Times New Roman"/>
          <w:color w:val="auto"/>
          <w:sz w:val="24"/>
          <w:szCs w:val="24"/>
        </w:rPr>
        <w:t xml:space="preserve">sú </w:t>
      </w:r>
      <w:r w:rsidRPr="00EB6D39">
        <w:rPr>
          <w:rFonts w:ascii="Times New Roman" w:eastAsiaTheme="minorEastAsia" w:hAnsi="Times New Roman"/>
          <w:color w:val="auto"/>
          <w:sz w:val="24"/>
          <w:szCs w:val="24"/>
        </w:rPr>
        <w:t>vo výške cca 12,1 mil</w:t>
      </w:r>
      <w:r w:rsidR="00746048" w:rsidRPr="00EB6D39">
        <w:rPr>
          <w:rFonts w:ascii="Times New Roman" w:eastAsiaTheme="minorEastAsia" w:hAnsi="Times New Roman"/>
          <w:color w:val="auto"/>
          <w:sz w:val="24"/>
          <w:szCs w:val="24"/>
        </w:rPr>
        <w:t>.</w:t>
      </w:r>
      <w:r w:rsidRPr="00EB6D39">
        <w:rPr>
          <w:rFonts w:ascii="Times New Roman" w:eastAsiaTheme="minorEastAsia" w:hAnsi="Times New Roman"/>
          <w:color w:val="auto"/>
          <w:sz w:val="24"/>
          <w:szCs w:val="24"/>
        </w:rPr>
        <w:t xml:space="preserve"> eur ročne, minimálny počet lôžok v hospicoch pre Slovenskú republiku je 300 (nariadenie vlády SR č. 417/2024 Z. z.)</w:t>
      </w:r>
      <w:r w:rsidR="003344B0" w:rsidRPr="00EB6D39">
        <w:rPr>
          <w:rFonts w:ascii="Times New Roman" w:eastAsiaTheme="minorEastAsia" w:hAnsi="Times New Roman"/>
          <w:color w:val="auto"/>
          <w:sz w:val="24"/>
          <w:szCs w:val="24"/>
        </w:rPr>
        <w:t xml:space="preserve">. </w:t>
      </w:r>
      <w:r w:rsidR="005F7D97" w:rsidRPr="00EB6D39">
        <w:rPr>
          <w:rFonts w:ascii="Times New Roman" w:eastAsiaTheme="minorEastAsia" w:hAnsi="Times New Roman"/>
          <w:color w:val="auto"/>
          <w:sz w:val="24"/>
          <w:szCs w:val="24"/>
        </w:rPr>
        <w:t xml:space="preserve">Suma nezahrnutá v rámci miezd predstavuje cca 8 mil. eur. </w:t>
      </w:r>
    </w:p>
    <w:p w14:paraId="122C5B85" w14:textId="77777777" w:rsidR="00BA2FC4" w:rsidRPr="00EB6D39" w:rsidRDefault="003344B0"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M</w:t>
      </w:r>
      <w:r w:rsidR="009E527B" w:rsidRPr="00EB6D39">
        <w:rPr>
          <w:rFonts w:ascii="Times New Roman" w:eastAsiaTheme="minorEastAsia" w:hAnsi="Times New Roman"/>
          <w:color w:val="auto"/>
          <w:sz w:val="24"/>
          <w:szCs w:val="24"/>
        </w:rPr>
        <w:t xml:space="preserve">obilné hospice - zvýšené finančné výdavky verejného zdravotného poistenia pre roky 2025 až 2027 </w:t>
      </w:r>
      <w:r w:rsidR="00746048" w:rsidRPr="00EB6D39">
        <w:rPr>
          <w:rFonts w:ascii="Times New Roman" w:eastAsiaTheme="minorEastAsia" w:hAnsi="Times New Roman"/>
          <w:color w:val="auto"/>
          <w:sz w:val="24"/>
          <w:szCs w:val="24"/>
        </w:rPr>
        <w:t xml:space="preserve">sú </w:t>
      </w:r>
      <w:r w:rsidR="009E527B" w:rsidRPr="00EB6D39">
        <w:rPr>
          <w:rFonts w:ascii="Times New Roman" w:eastAsiaTheme="minorEastAsia" w:hAnsi="Times New Roman"/>
          <w:color w:val="auto"/>
          <w:sz w:val="24"/>
          <w:szCs w:val="24"/>
        </w:rPr>
        <w:t>vo výške cca 1,7 mil</w:t>
      </w:r>
      <w:r w:rsidR="00746048" w:rsidRPr="00EB6D39">
        <w:rPr>
          <w:rFonts w:ascii="Times New Roman" w:eastAsiaTheme="minorEastAsia" w:hAnsi="Times New Roman"/>
          <w:color w:val="auto"/>
          <w:sz w:val="24"/>
          <w:szCs w:val="24"/>
        </w:rPr>
        <w:t xml:space="preserve">. </w:t>
      </w:r>
      <w:r w:rsidR="009E527B" w:rsidRPr="00EB6D39">
        <w:rPr>
          <w:rFonts w:ascii="Times New Roman" w:eastAsiaTheme="minorEastAsia" w:hAnsi="Times New Roman"/>
          <w:color w:val="auto"/>
          <w:sz w:val="24"/>
          <w:szCs w:val="24"/>
        </w:rPr>
        <w:t>eur ročne</w:t>
      </w:r>
      <w:r w:rsidRPr="00EB6D39">
        <w:rPr>
          <w:rFonts w:ascii="Times New Roman" w:eastAsiaTheme="minorEastAsia" w:hAnsi="Times New Roman"/>
          <w:color w:val="auto"/>
          <w:sz w:val="24"/>
          <w:szCs w:val="24"/>
        </w:rPr>
        <w:t xml:space="preserve">. </w:t>
      </w:r>
    </w:p>
    <w:p w14:paraId="741949FB" w14:textId="77777777" w:rsidR="00BA2FC4" w:rsidRPr="00EB6D39" w:rsidRDefault="003344B0"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A</w:t>
      </w:r>
      <w:r w:rsidR="009E527B" w:rsidRPr="00EB6D39">
        <w:rPr>
          <w:rFonts w:ascii="Times New Roman" w:eastAsiaTheme="minorEastAsia" w:hAnsi="Times New Roman"/>
          <w:color w:val="auto"/>
          <w:sz w:val="24"/>
          <w:szCs w:val="24"/>
          <w:lang w:eastAsia="en-US"/>
        </w:rPr>
        <w:t xml:space="preserve">gentúry domácej ošetrovateľskej starostlivosti - zvýšené finančné výdavky verejného zdravotného poistenia pre roky 2025 až 2027 </w:t>
      </w:r>
      <w:r w:rsidR="00746048" w:rsidRPr="00EB6D39">
        <w:rPr>
          <w:rFonts w:ascii="Times New Roman" w:eastAsiaTheme="minorEastAsia" w:hAnsi="Times New Roman"/>
          <w:color w:val="auto"/>
          <w:sz w:val="24"/>
          <w:szCs w:val="24"/>
          <w:lang w:eastAsia="en-US"/>
        </w:rPr>
        <w:t xml:space="preserve">sú </w:t>
      </w:r>
      <w:r w:rsidR="009E527B" w:rsidRPr="00EB6D39">
        <w:rPr>
          <w:rFonts w:ascii="Times New Roman" w:eastAsiaTheme="minorEastAsia" w:hAnsi="Times New Roman"/>
          <w:color w:val="auto"/>
          <w:sz w:val="24"/>
          <w:szCs w:val="24"/>
          <w:lang w:eastAsia="en-US"/>
        </w:rPr>
        <w:t>vo výške cca 3 mil</w:t>
      </w:r>
      <w:r w:rsidR="00746048" w:rsidRPr="00EB6D39">
        <w:rPr>
          <w:rFonts w:ascii="Times New Roman" w:eastAsiaTheme="minorEastAsia" w:hAnsi="Times New Roman"/>
          <w:color w:val="auto"/>
          <w:sz w:val="24"/>
          <w:szCs w:val="24"/>
          <w:lang w:eastAsia="en-US"/>
        </w:rPr>
        <w:t>.</w:t>
      </w:r>
      <w:r w:rsidR="009E527B" w:rsidRPr="00EB6D39">
        <w:rPr>
          <w:rFonts w:ascii="Times New Roman" w:eastAsiaTheme="minorEastAsia" w:hAnsi="Times New Roman"/>
          <w:color w:val="auto"/>
          <w:sz w:val="24"/>
          <w:szCs w:val="24"/>
          <w:lang w:eastAsia="en-US"/>
        </w:rPr>
        <w:t xml:space="preserve"> eur ročne</w:t>
      </w:r>
      <w:r w:rsidRPr="00EB6D39">
        <w:rPr>
          <w:rFonts w:ascii="Times New Roman" w:eastAsiaTheme="minorEastAsia" w:hAnsi="Times New Roman"/>
          <w:color w:val="auto"/>
          <w:sz w:val="24"/>
          <w:szCs w:val="24"/>
          <w:lang w:eastAsia="en-US"/>
        </w:rPr>
        <w:t xml:space="preserve">. </w:t>
      </w:r>
    </w:p>
    <w:p w14:paraId="7972E727" w14:textId="77777777" w:rsidR="00BA2FC4" w:rsidRPr="00EB6D39" w:rsidRDefault="003344B0"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lang w:eastAsia="en-US"/>
        </w:rPr>
        <w:t>D</w:t>
      </w:r>
      <w:r w:rsidR="009E527B" w:rsidRPr="00EB6D39">
        <w:rPr>
          <w:rFonts w:ascii="Times New Roman" w:eastAsiaTheme="minorEastAsia" w:hAnsi="Times New Roman"/>
          <w:color w:val="auto"/>
          <w:sz w:val="24"/>
          <w:szCs w:val="24"/>
        </w:rPr>
        <w:t>om ošetrovateľskej starostlivosti - zvýšené finančné výdavky verejného zdravotného poistenia pre roky 2025 až 2027</w:t>
      </w:r>
      <w:r w:rsidR="00746048" w:rsidRPr="00EB6D39">
        <w:rPr>
          <w:rFonts w:ascii="Times New Roman" w:eastAsiaTheme="minorEastAsia" w:hAnsi="Times New Roman"/>
          <w:color w:val="auto"/>
          <w:sz w:val="24"/>
          <w:szCs w:val="24"/>
        </w:rPr>
        <w:t xml:space="preserve">sú </w:t>
      </w:r>
      <w:r w:rsidR="009E527B" w:rsidRPr="00EB6D39">
        <w:rPr>
          <w:rFonts w:ascii="Times New Roman" w:eastAsiaTheme="minorEastAsia" w:hAnsi="Times New Roman"/>
          <w:color w:val="auto"/>
          <w:sz w:val="24"/>
          <w:szCs w:val="24"/>
        </w:rPr>
        <w:t xml:space="preserve"> vo výške cca 1,2 mil</w:t>
      </w:r>
      <w:r w:rsidR="00746048" w:rsidRPr="00EB6D39">
        <w:rPr>
          <w:rFonts w:ascii="Times New Roman" w:eastAsiaTheme="minorEastAsia" w:hAnsi="Times New Roman"/>
          <w:color w:val="auto"/>
          <w:sz w:val="24"/>
          <w:szCs w:val="24"/>
        </w:rPr>
        <w:t>.</w:t>
      </w:r>
      <w:r w:rsidR="009E527B" w:rsidRPr="00EB6D39">
        <w:rPr>
          <w:rFonts w:ascii="Times New Roman" w:eastAsiaTheme="minorEastAsia" w:hAnsi="Times New Roman"/>
          <w:color w:val="auto"/>
          <w:sz w:val="24"/>
          <w:szCs w:val="24"/>
        </w:rPr>
        <w:t xml:space="preserve"> eur ročne</w:t>
      </w:r>
      <w:r w:rsidR="005F7D97" w:rsidRPr="00EB6D39">
        <w:rPr>
          <w:rFonts w:ascii="Times New Roman" w:eastAsiaTheme="minorEastAsia" w:hAnsi="Times New Roman"/>
          <w:color w:val="auto"/>
          <w:sz w:val="24"/>
          <w:szCs w:val="24"/>
        </w:rPr>
        <w:t xml:space="preserve">. </w:t>
      </w:r>
    </w:p>
    <w:p w14:paraId="2C276491" w14:textId="77777777" w:rsidR="00BA2FC4" w:rsidRPr="00EB6D39" w:rsidRDefault="005F7D97"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A</w:t>
      </w:r>
      <w:r w:rsidR="009E527B" w:rsidRPr="00EB6D39">
        <w:rPr>
          <w:rFonts w:ascii="Times New Roman" w:eastAsiaTheme="minorEastAsia" w:hAnsi="Times New Roman"/>
          <w:color w:val="auto"/>
          <w:sz w:val="24"/>
          <w:szCs w:val="24"/>
        </w:rPr>
        <w:t xml:space="preserve">mbulancie záchrannej zdravotnej služby - zvýšené finančné výdavky verejného zdravotného poistenia pre roky 2024 až 2026 </w:t>
      </w:r>
      <w:r w:rsidR="00746048" w:rsidRPr="00EB6D39">
        <w:rPr>
          <w:rFonts w:ascii="Times New Roman" w:eastAsiaTheme="minorEastAsia" w:hAnsi="Times New Roman"/>
          <w:color w:val="auto"/>
          <w:sz w:val="24"/>
          <w:szCs w:val="24"/>
        </w:rPr>
        <w:t xml:space="preserve">sú </w:t>
      </w:r>
      <w:r w:rsidR="009E527B" w:rsidRPr="00EB6D39">
        <w:rPr>
          <w:rFonts w:ascii="Times New Roman" w:eastAsiaTheme="minorEastAsia" w:hAnsi="Times New Roman"/>
          <w:color w:val="auto"/>
          <w:sz w:val="24"/>
          <w:szCs w:val="24"/>
        </w:rPr>
        <w:t>vo výške cca 15,9 mil</w:t>
      </w:r>
      <w:r w:rsidR="00746048" w:rsidRPr="00EB6D39">
        <w:rPr>
          <w:rFonts w:ascii="Times New Roman" w:eastAsiaTheme="minorEastAsia" w:hAnsi="Times New Roman"/>
          <w:color w:val="auto"/>
          <w:sz w:val="24"/>
          <w:szCs w:val="24"/>
        </w:rPr>
        <w:t>.</w:t>
      </w:r>
      <w:r w:rsidR="009E527B" w:rsidRPr="00EB6D39">
        <w:rPr>
          <w:rFonts w:ascii="Times New Roman" w:eastAsiaTheme="minorEastAsia" w:hAnsi="Times New Roman"/>
          <w:color w:val="auto"/>
          <w:sz w:val="24"/>
          <w:szCs w:val="24"/>
        </w:rPr>
        <w:t xml:space="preserve"> eur ročne</w:t>
      </w:r>
      <w:r w:rsidRPr="00EB6D39">
        <w:rPr>
          <w:rFonts w:ascii="Times New Roman" w:eastAsiaTheme="minorEastAsia" w:hAnsi="Times New Roman"/>
          <w:color w:val="auto"/>
          <w:sz w:val="24"/>
          <w:szCs w:val="24"/>
        </w:rPr>
        <w:t xml:space="preserve">. </w:t>
      </w:r>
    </w:p>
    <w:p w14:paraId="3E929856" w14:textId="77777777" w:rsidR="00BA2FC4" w:rsidRPr="00EB6D39" w:rsidRDefault="009E527B"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 xml:space="preserve">Urgentné príjmy - zvýšené finančné výdavky verejného zdravotného poistenia pre roky 2024 až 2026 </w:t>
      </w:r>
      <w:r w:rsidR="00746048" w:rsidRPr="00EB6D39">
        <w:rPr>
          <w:rFonts w:ascii="Times New Roman" w:eastAsiaTheme="minorEastAsia" w:hAnsi="Times New Roman"/>
          <w:color w:val="auto"/>
          <w:sz w:val="24"/>
          <w:szCs w:val="24"/>
        </w:rPr>
        <w:t xml:space="preserve">sú </w:t>
      </w:r>
      <w:r w:rsidRPr="00EB6D39">
        <w:rPr>
          <w:rFonts w:ascii="Times New Roman" w:eastAsiaTheme="minorEastAsia" w:hAnsi="Times New Roman"/>
          <w:color w:val="auto"/>
          <w:sz w:val="24"/>
          <w:szCs w:val="24"/>
        </w:rPr>
        <w:t>vo výške cca 6,6 mil</w:t>
      </w:r>
      <w:r w:rsidR="00746048" w:rsidRPr="00EB6D39">
        <w:rPr>
          <w:rFonts w:ascii="Times New Roman" w:eastAsiaTheme="minorEastAsia" w:hAnsi="Times New Roman"/>
          <w:color w:val="auto"/>
          <w:sz w:val="24"/>
          <w:szCs w:val="24"/>
        </w:rPr>
        <w:t>.</w:t>
      </w:r>
      <w:r w:rsidRPr="00EB6D39">
        <w:rPr>
          <w:rFonts w:ascii="Times New Roman" w:eastAsiaTheme="minorEastAsia" w:hAnsi="Times New Roman"/>
          <w:color w:val="auto"/>
          <w:sz w:val="24"/>
          <w:szCs w:val="24"/>
        </w:rPr>
        <w:t xml:space="preserve"> eur ročne</w:t>
      </w:r>
      <w:r w:rsidR="005F7D97" w:rsidRPr="00EB6D39">
        <w:rPr>
          <w:rFonts w:ascii="Times New Roman" w:eastAsiaTheme="minorEastAsia" w:hAnsi="Times New Roman"/>
          <w:color w:val="auto"/>
          <w:sz w:val="24"/>
          <w:szCs w:val="24"/>
        </w:rPr>
        <w:t xml:space="preserve">. </w:t>
      </w:r>
    </w:p>
    <w:p w14:paraId="1022FEF4" w14:textId="309AD2B8" w:rsidR="009E527B" w:rsidRPr="00EB6D39" w:rsidRDefault="005F7D97" w:rsidP="00BA2FC4">
      <w:pPr>
        <w:pStyle w:val="p1"/>
        <w:numPr>
          <w:ilvl w:val="0"/>
          <w:numId w:val="40"/>
        </w:numPr>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Z</w:t>
      </w:r>
      <w:r w:rsidR="009E527B" w:rsidRPr="00EB6D39">
        <w:rPr>
          <w:rFonts w:ascii="Times New Roman" w:eastAsiaTheme="minorEastAsia" w:hAnsi="Times New Roman"/>
          <w:color w:val="auto"/>
          <w:sz w:val="24"/>
          <w:szCs w:val="24"/>
        </w:rPr>
        <w:t xml:space="preserve">ariadenia sociálnej pomoci - zvýšené finančné výdavky verejného zdravotného poistenia pre roky 2024 až 2026 </w:t>
      </w:r>
      <w:r w:rsidRPr="00EB6D39">
        <w:rPr>
          <w:rFonts w:ascii="Times New Roman" w:eastAsiaTheme="minorEastAsia" w:hAnsi="Times New Roman"/>
          <w:color w:val="auto"/>
          <w:sz w:val="24"/>
          <w:szCs w:val="24"/>
        </w:rPr>
        <w:t xml:space="preserve">sú </w:t>
      </w:r>
      <w:r w:rsidR="009E527B" w:rsidRPr="00EB6D39">
        <w:rPr>
          <w:rFonts w:ascii="Times New Roman" w:eastAsiaTheme="minorEastAsia" w:hAnsi="Times New Roman"/>
          <w:color w:val="auto"/>
          <w:sz w:val="24"/>
          <w:szCs w:val="24"/>
        </w:rPr>
        <w:t>vo výške cca 2,5 mil</w:t>
      </w:r>
      <w:r w:rsidR="00746048" w:rsidRPr="00EB6D39">
        <w:rPr>
          <w:rFonts w:ascii="Times New Roman" w:eastAsiaTheme="minorEastAsia" w:hAnsi="Times New Roman"/>
          <w:color w:val="auto"/>
          <w:sz w:val="24"/>
          <w:szCs w:val="24"/>
        </w:rPr>
        <w:t>.</w:t>
      </w:r>
      <w:r w:rsidR="009E527B" w:rsidRPr="00EB6D39">
        <w:rPr>
          <w:rFonts w:ascii="Times New Roman" w:eastAsiaTheme="minorEastAsia" w:hAnsi="Times New Roman"/>
          <w:color w:val="auto"/>
          <w:sz w:val="24"/>
          <w:szCs w:val="24"/>
        </w:rPr>
        <w:t xml:space="preserve"> eur ročne.</w:t>
      </w:r>
    </w:p>
    <w:p w14:paraId="2559C035" w14:textId="77777777" w:rsidR="00BA2FC4" w:rsidRPr="00EB6D39" w:rsidRDefault="00BA2FC4" w:rsidP="00EB6D39">
      <w:pPr>
        <w:pStyle w:val="p1"/>
        <w:ind w:left="360"/>
        <w:jc w:val="both"/>
        <w:rPr>
          <w:rFonts w:ascii="Times New Roman" w:eastAsiaTheme="minorEastAsia" w:hAnsi="Times New Roman"/>
          <w:color w:val="auto"/>
          <w:sz w:val="24"/>
          <w:szCs w:val="24"/>
        </w:rPr>
      </w:pPr>
    </w:p>
    <w:p w14:paraId="15CF20D4" w14:textId="07FB32EC" w:rsidR="009E527B" w:rsidRPr="00EB6D39" w:rsidRDefault="000354BE" w:rsidP="005F7D97">
      <w:pPr>
        <w:pStyle w:val="p1"/>
        <w:ind w:firstLine="708"/>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 xml:space="preserve">Z dôvodu kategorizácie nových liekov, dietetických potravín a zdravotníckych pomôcok, ktoré prebehlo už v roku 2023 a 2024 sa aj na tejto položke rozpočtuje prirodzený nárast. Tento rast zohľadňuje komplexný vývoj ceny liekov, dietetických potravín a zdravotníckych pomôcok s ohľadom na ich produktový cyklus. Prirodzený nárast liekov a dietetických potravín predstavuje 111 mil. eur, z toho 55 mil. eur už </w:t>
      </w:r>
      <w:r w:rsidR="000E5BA2" w:rsidRPr="00EB6D39">
        <w:rPr>
          <w:rFonts w:ascii="Times New Roman" w:eastAsiaTheme="minorEastAsia" w:hAnsi="Times New Roman"/>
          <w:color w:val="auto"/>
          <w:sz w:val="24"/>
          <w:szCs w:val="24"/>
        </w:rPr>
        <w:t xml:space="preserve">je </w:t>
      </w:r>
      <w:r w:rsidRPr="00EB6D39">
        <w:rPr>
          <w:rFonts w:ascii="Times New Roman" w:eastAsiaTheme="minorEastAsia" w:hAnsi="Times New Roman"/>
          <w:color w:val="auto"/>
          <w:sz w:val="24"/>
          <w:szCs w:val="24"/>
        </w:rPr>
        <w:t>zahrnutých v</w:t>
      </w:r>
      <w:r w:rsidR="000E5BA2" w:rsidRPr="00EB6D39">
        <w:rPr>
          <w:rFonts w:ascii="Times New Roman" w:eastAsiaTheme="minorEastAsia" w:hAnsi="Times New Roman"/>
          <w:color w:val="auto"/>
          <w:sz w:val="24"/>
          <w:szCs w:val="24"/>
        </w:rPr>
        <w:t> časti NPC rozpočtu</w:t>
      </w:r>
      <w:r w:rsidRPr="00EB6D39">
        <w:rPr>
          <w:rFonts w:ascii="Times New Roman" w:eastAsiaTheme="minorEastAsia" w:hAnsi="Times New Roman"/>
          <w:color w:val="auto"/>
          <w:sz w:val="24"/>
          <w:szCs w:val="24"/>
        </w:rPr>
        <w:t xml:space="preserve"> na rok 2025.   </w:t>
      </w:r>
    </w:p>
    <w:p w14:paraId="7328B047" w14:textId="77777777" w:rsidR="00BA2FC4" w:rsidRPr="00EB6D39" w:rsidRDefault="00BA2FC4" w:rsidP="005F7D97">
      <w:pPr>
        <w:pStyle w:val="p1"/>
        <w:ind w:firstLine="708"/>
        <w:jc w:val="both"/>
        <w:rPr>
          <w:rFonts w:ascii="Times New Roman" w:eastAsiaTheme="minorEastAsia" w:hAnsi="Times New Roman"/>
          <w:color w:val="auto"/>
          <w:sz w:val="24"/>
          <w:szCs w:val="24"/>
        </w:rPr>
      </w:pPr>
    </w:p>
    <w:p w14:paraId="67D76AC0" w14:textId="798F5F61" w:rsidR="000E5BA2" w:rsidRPr="00EB6D39" w:rsidRDefault="009E527B" w:rsidP="000E5BA2">
      <w:pPr>
        <w:pStyle w:val="p1"/>
        <w:ind w:firstLine="720"/>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Dopad prijatej legislatívy</w:t>
      </w:r>
      <w:r w:rsidR="00746048" w:rsidRPr="00EB6D39">
        <w:rPr>
          <w:rFonts w:ascii="Times New Roman" w:eastAsiaTheme="minorEastAsia" w:hAnsi="Times New Roman"/>
          <w:color w:val="auto"/>
          <w:sz w:val="24"/>
          <w:szCs w:val="24"/>
        </w:rPr>
        <w:t xml:space="preserve"> (zákony č. 360/2024 Z. z. mení zákon č. 578/2004 Z. z. o poskytovateľoch zdravotnej starostlivosti):</w:t>
      </w:r>
    </w:p>
    <w:p w14:paraId="083D8070" w14:textId="35E1FEFA" w:rsidR="000E5BA2" w:rsidRPr="00EB6D39" w:rsidRDefault="009E527B" w:rsidP="00EB6D39">
      <w:pPr>
        <w:pStyle w:val="p1"/>
        <w:numPr>
          <w:ilvl w:val="0"/>
          <w:numId w:val="41"/>
        </w:numPr>
        <w:ind w:left="360"/>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 xml:space="preserve">Nové definovanie verejnej optimálnej siete poskytovateľov špecializovanej ambulantnej starostlivosti – pre rok 2025 </w:t>
      </w:r>
      <w:r w:rsidR="00746048" w:rsidRPr="00EB6D39">
        <w:rPr>
          <w:rFonts w:ascii="Times New Roman" w:eastAsiaTheme="minorEastAsia" w:hAnsi="Times New Roman"/>
          <w:color w:val="auto"/>
          <w:sz w:val="24"/>
          <w:szCs w:val="24"/>
        </w:rPr>
        <w:t>nepredstavuje dopad na verejné zdravotné poistenie</w:t>
      </w:r>
      <w:r w:rsidRPr="00EB6D39">
        <w:rPr>
          <w:rFonts w:ascii="Times New Roman" w:eastAsiaTheme="minorEastAsia" w:hAnsi="Times New Roman"/>
          <w:color w:val="auto"/>
          <w:sz w:val="24"/>
          <w:szCs w:val="24"/>
        </w:rPr>
        <w:t>, pre rok 2026</w:t>
      </w:r>
      <w:r w:rsidR="00746048" w:rsidRPr="00EB6D39">
        <w:rPr>
          <w:rFonts w:ascii="Times New Roman" w:eastAsiaTheme="minorEastAsia" w:hAnsi="Times New Roman"/>
          <w:color w:val="auto"/>
          <w:sz w:val="24"/>
          <w:szCs w:val="24"/>
        </w:rPr>
        <w:t xml:space="preserve"> pôjde o dopad </w:t>
      </w:r>
      <w:r w:rsidRPr="00EB6D39">
        <w:rPr>
          <w:rFonts w:ascii="Times New Roman" w:eastAsiaTheme="minorEastAsia" w:hAnsi="Times New Roman"/>
          <w:color w:val="auto"/>
          <w:sz w:val="24"/>
          <w:szCs w:val="24"/>
        </w:rPr>
        <w:t xml:space="preserve">9,6 mil. eur, pre rok 2027 </w:t>
      </w:r>
      <w:r w:rsidR="00746048" w:rsidRPr="00EB6D39">
        <w:rPr>
          <w:rFonts w:ascii="Times New Roman" w:eastAsiaTheme="minorEastAsia" w:hAnsi="Times New Roman"/>
          <w:color w:val="auto"/>
          <w:sz w:val="24"/>
          <w:szCs w:val="24"/>
        </w:rPr>
        <w:t xml:space="preserve">ten dopad predstavuje </w:t>
      </w:r>
      <w:r w:rsidRPr="00EB6D39">
        <w:rPr>
          <w:rFonts w:ascii="Times New Roman" w:eastAsiaTheme="minorEastAsia" w:hAnsi="Times New Roman"/>
          <w:color w:val="auto"/>
          <w:sz w:val="24"/>
          <w:szCs w:val="24"/>
        </w:rPr>
        <w:t xml:space="preserve">22,8 mil. eur, pre rok 2028 </w:t>
      </w:r>
      <w:r w:rsidR="00746048" w:rsidRPr="00EB6D39">
        <w:rPr>
          <w:rFonts w:ascii="Times New Roman" w:eastAsiaTheme="minorEastAsia" w:hAnsi="Times New Roman"/>
          <w:color w:val="auto"/>
          <w:sz w:val="24"/>
          <w:szCs w:val="24"/>
        </w:rPr>
        <w:t xml:space="preserve">dopad predstavuje </w:t>
      </w:r>
      <w:r w:rsidRPr="00EB6D39">
        <w:rPr>
          <w:rFonts w:ascii="Times New Roman" w:eastAsiaTheme="minorEastAsia" w:hAnsi="Times New Roman"/>
          <w:color w:val="auto"/>
          <w:sz w:val="24"/>
          <w:szCs w:val="24"/>
        </w:rPr>
        <w:t>41,5 mil. eur</w:t>
      </w:r>
      <w:r w:rsidR="00746048" w:rsidRPr="00EB6D39">
        <w:rPr>
          <w:rFonts w:ascii="Times New Roman" w:eastAsiaTheme="minorEastAsia" w:hAnsi="Times New Roman"/>
          <w:color w:val="auto"/>
          <w:sz w:val="24"/>
          <w:szCs w:val="24"/>
        </w:rPr>
        <w:t>.</w:t>
      </w:r>
    </w:p>
    <w:p w14:paraId="39E52D27" w14:textId="7887D765" w:rsidR="009E527B" w:rsidRPr="00EB6D39" w:rsidRDefault="009E527B" w:rsidP="00EB6D39">
      <w:pPr>
        <w:pStyle w:val="p1"/>
        <w:numPr>
          <w:ilvl w:val="0"/>
          <w:numId w:val="41"/>
        </w:numPr>
        <w:ind w:left="360"/>
        <w:jc w:val="both"/>
        <w:rPr>
          <w:rFonts w:ascii="Times New Roman" w:eastAsiaTheme="minorEastAsia" w:hAnsi="Times New Roman"/>
          <w:color w:val="auto"/>
          <w:sz w:val="24"/>
          <w:szCs w:val="24"/>
        </w:rPr>
      </w:pPr>
      <w:r w:rsidRPr="00EB6D39">
        <w:rPr>
          <w:rFonts w:ascii="Times New Roman" w:eastAsiaTheme="minorEastAsia" w:hAnsi="Times New Roman"/>
          <w:color w:val="auto"/>
          <w:sz w:val="24"/>
          <w:szCs w:val="24"/>
        </w:rPr>
        <w:t xml:space="preserve">Finančný dopad na výdavky z verejného zdravotného poistenia na poskytovanie </w:t>
      </w:r>
      <w:r w:rsidR="00746048" w:rsidRPr="00EB6D39">
        <w:rPr>
          <w:rFonts w:ascii="Times New Roman" w:eastAsiaTheme="minorEastAsia" w:hAnsi="Times New Roman"/>
          <w:color w:val="auto"/>
          <w:sz w:val="24"/>
          <w:szCs w:val="24"/>
        </w:rPr>
        <w:t>z</w:t>
      </w:r>
      <w:r w:rsidRPr="00EB6D39">
        <w:rPr>
          <w:rFonts w:ascii="Times New Roman" w:eastAsiaTheme="minorEastAsia" w:hAnsi="Times New Roman"/>
          <w:color w:val="auto"/>
          <w:sz w:val="24"/>
          <w:szCs w:val="24"/>
        </w:rPr>
        <w:t>dravotn</w:t>
      </w:r>
      <w:r w:rsidR="00746048" w:rsidRPr="00EB6D39">
        <w:rPr>
          <w:rFonts w:ascii="Times New Roman" w:eastAsiaTheme="minorEastAsia" w:hAnsi="Times New Roman"/>
          <w:color w:val="auto"/>
          <w:sz w:val="24"/>
          <w:szCs w:val="24"/>
        </w:rPr>
        <w:t>ej</w:t>
      </w:r>
      <w:r w:rsidRPr="00EB6D39">
        <w:rPr>
          <w:rFonts w:ascii="Times New Roman" w:eastAsiaTheme="minorEastAsia" w:hAnsi="Times New Roman"/>
          <w:color w:val="auto"/>
          <w:sz w:val="24"/>
          <w:szCs w:val="24"/>
        </w:rPr>
        <w:t xml:space="preserve"> starostlivos</w:t>
      </w:r>
      <w:r w:rsidR="00746048" w:rsidRPr="00EB6D39">
        <w:rPr>
          <w:rFonts w:ascii="Times New Roman" w:eastAsiaTheme="minorEastAsia" w:hAnsi="Times New Roman"/>
          <w:color w:val="auto"/>
          <w:sz w:val="24"/>
          <w:szCs w:val="24"/>
        </w:rPr>
        <w:t xml:space="preserve">ti </w:t>
      </w:r>
      <w:r w:rsidRPr="00EB6D39">
        <w:rPr>
          <w:rFonts w:ascii="Times New Roman" w:eastAsiaTheme="minorEastAsia" w:hAnsi="Times New Roman"/>
          <w:color w:val="auto"/>
          <w:sz w:val="24"/>
          <w:szCs w:val="24"/>
        </w:rPr>
        <w:t>formou ADOS pre cieľovú skupinu deti s potrebou ošetrovateľskej intervencie v domácom prostredí alebo v inom prirodzenom prostredí dieťaťa sa predpokladá v hodnote 594 994</w:t>
      </w:r>
      <w:r w:rsidRPr="00EB6D39">
        <w:rPr>
          <w:rFonts w:ascii="Times New Roman" w:eastAsiaTheme="minorEastAsia" w:hAnsi="Times New Roman"/>
          <w:color w:val="auto"/>
          <w:sz w:val="24"/>
          <w:szCs w:val="24"/>
        </w:rPr>
        <w:t>‬ € ročne</w:t>
      </w:r>
      <w:r w:rsidR="00746048" w:rsidRPr="00EB6D39">
        <w:rPr>
          <w:rFonts w:ascii="Times New Roman" w:eastAsiaTheme="minorEastAsia" w:hAnsi="Times New Roman"/>
          <w:color w:val="auto"/>
          <w:sz w:val="24"/>
          <w:szCs w:val="24"/>
        </w:rPr>
        <w:t>. S</w:t>
      </w:r>
      <w:r w:rsidRPr="00EB6D39">
        <w:rPr>
          <w:rFonts w:ascii="Times New Roman" w:eastAsiaTheme="minorEastAsia" w:hAnsi="Times New Roman"/>
          <w:color w:val="auto"/>
          <w:sz w:val="24"/>
          <w:szCs w:val="24"/>
        </w:rPr>
        <w:t xml:space="preserve">anácia chrupu </w:t>
      </w:r>
      <w:r w:rsidR="00746048" w:rsidRPr="00EB6D39">
        <w:rPr>
          <w:rFonts w:ascii="Times New Roman" w:eastAsiaTheme="minorEastAsia" w:hAnsi="Times New Roman"/>
          <w:color w:val="auto"/>
          <w:sz w:val="24"/>
          <w:szCs w:val="24"/>
        </w:rPr>
        <w:t xml:space="preserve"> alebo extrakcia zubu v celkovej anestézii </w:t>
      </w:r>
      <w:r w:rsidRPr="00EB6D39">
        <w:rPr>
          <w:rFonts w:ascii="Times New Roman" w:eastAsiaTheme="minorEastAsia" w:hAnsi="Times New Roman"/>
          <w:color w:val="auto"/>
          <w:sz w:val="24"/>
          <w:szCs w:val="24"/>
        </w:rPr>
        <w:t xml:space="preserve">v celkovej anestézii odhad </w:t>
      </w:r>
      <w:r w:rsidR="00746048" w:rsidRPr="00EB6D39">
        <w:rPr>
          <w:rFonts w:ascii="Times New Roman" w:eastAsiaTheme="minorEastAsia" w:hAnsi="Times New Roman"/>
          <w:color w:val="auto"/>
          <w:sz w:val="24"/>
          <w:szCs w:val="24"/>
        </w:rPr>
        <w:t xml:space="preserve">predstavuje </w:t>
      </w:r>
      <w:r w:rsidRPr="00EB6D39">
        <w:rPr>
          <w:rFonts w:ascii="Times New Roman" w:eastAsiaTheme="minorEastAsia" w:hAnsi="Times New Roman"/>
          <w:color w:val="auto"/>
          <w:sz w:val="24"/>
          <w:szCs w:val="24"/>
        </w:rPr>
        <w:t>dopad</w:t>
      </w:r>
      <w:r w:rsidR="00746048" w:rsidRPr="00EB6D39">
        <w:rPr>
          <w:rFonts w:ascii="Times New Roman" w:eastAsiaTheme="minorEastAsia" w:hAnsi="Times New Roman"/>
          <w:color w:val="auto"/>
          <w:sz w:val="24"/>
          <w:szCs w:val="24"/>
        </w:rPr>
        <w:t xml:space="preserve"> cca 1 mil. eur.</w:t>
      </w:r>
    </w:p>
    <w:p w14:paraId="7F6A901F" w14:textId="77777777" w:rsidR="009E527B" w:rsidRDefault="009E527B" w:rsidP="009E527B">
      <w:pPr>
        <w:pStyle w:val="p1"/>
        <w:jc w:val="both"/>
        <w:rPr>
          <w:rFonts w:ascii="Times New Roman" w:eastAsiaTheme="minorEastAsia" w:hAnsi="Times New Roman"/>
          <w:b/>
          <w:bCs/>
          <w:color w:val="auto"/>
          <w:sz w:val="24"/>
          <w:szCs w:val="24"/>
          <w:lang w:eastAsia="en-US"/>
        </w:rPr>
      </w:pPr>
    </w:p>
    <w:p w14:paraId="426439F6" w14:textId="77777777" w:rsidR="00B710A6" w:rsidRDefault="00B710A6" w:rsidP="009E527B">
      <w:pPr>
        <w:pStyle w:val="p1"/>
        <w:jc w:val="both"/>
        <w:rPr>
          <w:rFonts w:ascii="Times New Roman" w:eastAsiaTheme="minorEastAsia" w:hAnsi="Times New Roman"/>
          <w:b/>
          <w:bCs/>
          <w:color w:val="auto"/>
          <w:sz w:val="24"/>
          <w:szCs w:val="24"/>
          <w:lang w:eastAsia="en-US"/>
        </w:rPr>
      </w:pPr>
    </w:p>
    <w:p w14:paraId="02000B58" w14:textId="77777777" w:rsidR="00B710A6" w:rsidRDefault="00B710A6" w:rsidP="009E527B">
      <w:pPr>
        <w:pStyle w:val="p1"/>
        <w:jc w:val="both"/>
        <w:rPr>
          <w:rFonts w:ascii="Times New Roman" w:eastAsiaTheme="minorEastAsia" w:hAnsi="Times New Roman"/>
          <w:b/>
          <w:bCs/>
          <w:color w:val="auto"/>
          <w:sz w:val="24"/>
          <w:szCs w:val="24"/>
          <w:lang w:eastAsia="en-US"/>
        </w:rPr>
      </w:pPr>
    </w:p>
    <w:p w14:paraId="1C19AD2D" w14:textId="77777777" w:rsidR="00B710A6" w:rsidRDefault="00B710A6" w:rsidP="009E527B">
      <w:pPr>
        <w:pStyle w:val="p1"/>
        <w:jc w:val="both"/>
        <w:rPr>
          <w:rFonts w:ascii="Times New Roman" w:eastAsiaTheme="minorEastAsia" w:hAnsi="Times New Roman"/>
          <w:b/>
          <w:bCs/>
          <w:color w:val="auto"/>
          <w:sz w:val="24"/>
          <w:szCs w:val="24"/>
          <w:lang w:eastAsia="en-US"/>
        </w:rPr>
      </w:pPr>
    </w:p>
    <w:p w14:paraId="6C266F59" w14:textId="77777777" w:rsidR="00B710A6" w:rsidRPr="00EB6D39" w:rsidRDefault="00B710A6" w:rsidP="009E527B">
      <w:pPr>
        <w:pStyle w:val="p1"/>
        <w:jc w:val="both"/>
        <w:rPr>
          <w:rFonts w:ascii="Times New Roman" w:eastAsiaTheme="minorEastAsia" w:hAnsi="Times New Roman"/>
          <w:b/>
          <w:bCs/>
          <w:color w:val="auto"/>
          <w:sz w:val="24"/>
          <w:szCs w:val="24"/>
          <w:lang w:eastAsia="en-US"/>
        </w:rPr>
      </w:pPr>
    </w:p>
    <w:p w14:paraId="67D7B301" w14:textId="0B1F101C" w:rsidR="00A01BDC" w:rsidRPr="00663746" w:rsidRDefault="00A01BDC" w:rsidP="00A01BDC">
      <w:pPr>
        <w:pStyle w:val="p1"/>
        <w:jc w:val="both"/>
        <w:rPr>
          <w:rFonts w:ascii="Times New Roman" w:hAnsi="Times New Roman"/>
          <w:b/>
          <w:bCs/>
          <w:color w:val="auto"/>
          <w:sz w:val="22"/>
          <w:szCs w:val="22"/>
        </w:rPr>
      </w:pPr>
      <w:r w:rsidRPr="00663746">
        <w:rPr>
          <w:rFonts w:ascii="Times New Roman" w:hAnsi="Times New Roman"/>
          <w:b/>
          <w:bCs/>
          <w:color w:val="auto"/>
          <w:sz w:val="22"/>
          <w:szCs w:val="22"/>
        </w:rPr>
        <w:t xml:space="preserve">Tabuľka </w:t>
      </w:r>
      <w:r w:rsidR="003F6971" w:rsidRPr="00663746">
        <w:rPr>
          <w:rFonts w:ascii="Times New Roman" w:hAnsi="Times New Roman"/>
          <w:b/>
          <w:bCs/>
          <w:color w:val="auto"/>
          <w:sz w:val="22"/>
          <w:szCs w:val="22"/>
        </w:rPr>
        <w:t>7</w:t>
      </w:r>
      <w:r w:rsidRPr="00663746">
        <w:rPr>
          <w:rFonts w:ascii="Times New Roman" w:hAnsi="Times New Roman"/>
          <w:b/>
          <w:bCs/>
          <w:color w:val="auto"/>
          <w:sz w:val="22"/>
          <w:szCs w:val="22"/>
        </w:rPr>
        <w:t>: Zmeny politík I</w:t>
      </w:r>
      <w:r w:rsidR="009E527B" w:rsidRPr="00663746">
        <w:rPr>
          <w:rFonts w:ascii="Times New Roman" w:hAnsi="Times New Roman"/>
          <w:b/>
          <w:bCs/>
          <w:color w:val="auto"/>
          <w:sz w:val="22"/>
          <w:szCs w:val="22"/>
        </w:rPr>
        <w:t>I</w:t>
      </w:r>
    </w:p>
    <w:tbl>
      <w:tblPr>
        <w:tblW w:w="8931" w:type="dxa"/>
        <w:tblCellMar>
          <w:left w:w="70" w:type="dxa"/>
          <w:right w:w="70" w:type="dxa"/>
        </w:tblCellMar>
        <w:tblLook w:val="04A0" w:firstRow="1" w:lastRow="0" w:firstColumn="1" w:lastColumn="0" w:noHBand="0" w:noVBand="1"/>
      </w:tblPr>
      <w:tblGrid>
        <w:gridCol w:w="567"/>
        <w:gridCol w:w="6521"/>
        <w:gridCol w:w="1843"/>
      </w:tblGrid>
      <w:tr w:rsidR="00EB6D39" w:rsidRPr="00EB6D39" w14:paraId="00FCBBC3" w14:textId="77777777" w:rsidTr="00B710A6">
        <w:trPr>
          <w:trHeight w:val="540"/>
        </w:trPr>
        <w:tc>
          <w:tcPr>
            <w:tcW w:w="567" w:type="dxa"/>
            <w:tcBorders>
              <w:top w:val="nil"/>
              <w:left w:val="nil"/>
              <w:bottom w:val="nil"/>
              <w:right w:val="nil"/>
            </w:tcBorders>
            <w:shd w:val="clear" w:color="auto" w:fill="auto"/>
            <w:noWrap/>
            <w:vAlign w:val="bottom"/>
            <w:hideMark/>
          </w:tcPr>
          <w:p w14:paraId="334C07D4" w14:textId="77777777" w:rsidR="009E527B" w:rsidRPr="00EB6D39" w:rsidRDefault="009E527B" w:rsidP="009E527B">
            <w:pPr>
              <w:spacing w:after="0" w:line="240" w:lineRule="auto"/>
              <w:rPr>
                <w:rFonts w:ascii="Times New Roman" w:eastAsia="Times New Roman" w:hAnsi="Times New Roman" w:cs="Times New Roman"/>
                <w:kern w:val="0"/>
                <w:sz w:val="24"/>
                <w:szCs w:val="24"/>
                <w:lang w:eastAsia="sk-SK"/>
                <w14:ligatures w14:val="none"/>
              </w:rPr>
            </w:pPr>
          </w:p>
        </w:tc>
        <w:tc>
          <w:tcPr>
            <w:tcW w:w="6521" w:type="dxa"/>
            <w:tcBorders>
              <w:top w:val="nil"/>
              <w:left w:val="nil"/>
              <w:bottom w:val="nil"/>
              <w:right w:val="nil"/>
            </w:tcBorders>
            <w:shd w:val="clear" w:color="auto" w:fill="auto"/>
            <w:noWrap/>
            <w:vAlign w:val="bottom"/>
            <w:hideMark/>
          </w:tcPr>
          <w:p w14:paraId="06D5225E"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p>
        </w:tc>
        <w:tc>
          <w:tcPr>
            <w:tcW w:w="184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994152A" w14:textId="77777777" w:rsidR="009E527B" w:rsidRPr="00EB6D39" w:rsidRDefault="009E527B" w:rsidP="009E527B">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ROK 2025</w:t>
            </w:r>
          </w:p>
        </w:tc>
      </w:tr>
      <w:tr w:rsidR="00EB6D39" w:rsidRPr="00EB6D39" w14:paraId="390F8B24" w14:textId="77777777" w:rsidTr="00B710A6">
        <w:trPr>
          <w:trHeight w:val="300"/>
        </w:trPr>
        <w:tc>
          <w:tcPr>
            <w:tcW w:w="567" w:type="dxa"/>
            <w:tcBorders>
              <w:top w:val="nil"/>
              <w:left w:val="nil"/>
              <w:bottom w:val="nil"/>
              <w:right w:val="nil"/>
            </w:tcBorders>
            <w:shd w:val="clear" w:color="auto" w:fill="auto"/>
            <w:noWrap/>
            <w:vAlign w:val="bottom"/>
            <w:hideMark/>
          </w:tcPr>
          <w:p w14:paraId="7ABBD099" w14:textId="77777777" w:rsidR="009E527B" w:rsidRPr="00EB6D39" w:rsidRDefault="009E527B" w:rsidP="009E527B">
            <w:pPr>
              <w:spacing w:after="0" w:line="240" w:lineRule="auto"/>
              <w:jc w:val="center"/>
              <w:rPr>
                <w:rFonts w:ascii="Times New Roman" w:eastAsia="Times New Roman" w:hAnsi="Times New Roman" w:cs="Times New Roman"/>
                <w:b/>
                <w:bCs/>
                <w:kern w:val="0"/>
                <w:sz w:val="20"/>
                <w:szCs w:val="20"/>
                <w:lang w:eastAsia="sk-SK"/>
                <w14:ligatures w14:val="none"/>
              </w:rPr>
            </w:pPr>
          </w:p>
        </w:tc>
        <w:tc>
          <w:tcPr>
            <w:tcW w:w="6521" w:type="dxa"/>
            <w:tcBorders>
              <w:top w:val="single" w:sz="8" w:space="0" w:color="auto"/>
              <w:left w:val="single" w:sz="8" w:space="0" w:color="auto"/>
              <w:bottom w:val="single" w:sz="8" w:space="0" w:color="auto"/>
              <w:right w:val="nil"/>
            </w:tcBorders>
            <w:shd w:val="clear" w:color="auto" w:fill="auto"/>
            <w:vAlign w:val="bottom"/>
            <w:hideMark/>
          </w:tcPr>
          <w:p w14:paraId="123E7698" w14:textId="77777777" w:rsidR="009E527B" w:rsidRPr="00EB6D39" w:rsidRDefault="009E527B" w:rsidP="009E527B">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Zmena politík II</w:t>
            </w:r>
          </w:p>
        </w:tc>
        <w:tc>
          <w:tcPr>
            <w:tcW w:w="1843" w:type="dxa"/>
            <w:tcBorders>
              <w:top w:val="nil"/>
              <w:left w:val="single" w:sz="8" w:space="0" w:color="auto"/>
              <w:bottom w:val="single" w:sz="8" w:space="0" w:color="auto"/>
              <w:right w:val="single" w:sz="8" w:space="0" w:color="auto"/>
            </w:tcBorders>
            <w:shd w:val="clear" w:color="auto" w:fill="auto"/>
            <w:noWrap/>
            <w:vAlign w:val="bottom"/>
            <w:hideMark/>
          </w:tcPr>
          <w:p w14:paraId="015871BA" w14:textId="77777777" w:rsidR="009E527B" w:rsidRPr="00EB6D39" w:rsidRDefault="009E527B"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125 000 000</w:t>
            </w:r>
          </w:p>
        </w:tc>
      </w:tr>
      <w:tr w:rsidR="00EB6D39" w:rsidRPr="00EB6D39" w14:paraId="55C55DD1" w14:textId="77777777" w:rsidTr="00B710A6">
        <w:trPr>
          <w:trHeight w:val="530"/>
        </w:trPr>
        <w:tc>
          <w:tcPr>
            <w:tcW w:w="567" w:type="dxa"/>
            <w:tcBorders>
              <w:top w:val="nil"/>
              <w:left w:val="nil"/>
              <w:bottom w:val="nil"/>
              <w:right w:val="nil"/>
            </w:tcBorders>
            <w:shd w:val="clear" w:color="auto" w:fill="auto"/>
            <w:noWrap/>
            <w:vAlign w:val="bottom"/>
            <w:hideMark/>
          </w:tcPr>
          <w:p w14:paraId="2459C21E"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w:t>
            </w:r>
          </w:p>
        </w:tc>
        <w:tc>
          <w:tcPr>
            <w:tcW w:w="6521" w:type="dxa"/>
            <w:tcBorders>
              <w:top w:val="nil"/>
              <w:left w:val="single" w:sz="8" w:space="0" w:color="auto"/>
              <w:bottom w:val="single" w:sz="8" w:space="0" w:color="auto"/>
              <w:right w:val="nil"/>
            </w:tcBorders>
            <w:shd w:val="clear" w:color="auto" w:fill="auto"/>
            <w:vAlign w:val="center"/>
            <w:hideMark/>
          </w:tcPr>
          <w:p w14:paraId="2278B644" w14:textId="77777777" w:rsidR="009E527B" w:rsidRPr="00EB6D39" w:rsidRDefault="009E527B" w:rsidP="009E527B">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Podpora nového zoznamu ambulantných zdravotných výkonov - pilot</w:t>
            </w:r>
          </w:p>
        </w:tc>
        <w:tc>
          <w:tcPr>
            <w:tcW w:w="1843" w:type="dxa"/>
            <w:tcBorders>
              <w:top w:val="nil"/>
              <w:left w:val="single" w:sz="8" w:space="0" w:color="auto"/>
              <w:bottom w:val="single" w:sz="8" w:space="0" w:color="auto"/>
              <w:right w:val="single" w:sz="8" w:space="0" w:color="auto"/>
            </w:tcBorders>
            <w:shd w:val="clear" w:color="auto" w:fill="auto"/>
            <w:vAlign w:val="center"/>
            <w:hideMark/>
          </w:tcPr>
          <w:p w14:paraId="0BF51F7B" w14:textId="77777777" w:rsidR="009E527B" w:rsidRPr="00EB6D39" w:rsidRDefault="009E527B"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5 000 000</w:t>
            </w:r>
          </w:p>
        </w:tc>
      </w:tr>
      <w:tr w:rsidR="00EB6D39" w:rsidRPr="00EB6D39" w14:paraId="1A3CF229" w14:textId="77777777" w:rsidTr="00B710A6">
        <w:trPr>
          <w:trHeight w:val="300"/>
        </w:trPr>
        <w:tc>
          <w:tcPr>
            <w:tcW w:w="567" w:type="dxa"/>
            <w:tcBorders>
              <w:top w:val="nil"/>
              <w:left w:val="nil"/>
              <w:bottom w:val="nil"/>
              <w:right w:val="nil"/>
            </w:tcBorders>
            <w:shd w:val="clear" w:color="auto" w:fill="auto"/>
            <w:noWrap/>
            <w:vAlign w:val="bottom"/>
            <w:hideMark/>
          </w:tcPr>
          <w:p w14:paraId="0FACF43E"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w:t>
            </w:r>
          </w:p>
        </w:tc>
        <w:tc>
          <w:tcPr>
            <w:tcW w:w="6521" w:type="dxa"/>
            <w:tcBorders>
              <w:top w:val="nil"/>
              <w:left w:val="single" w:sz="8" w:space="0" w:color="auto"/>
              <w:bottom w:val="single" w:sz="8" w:space="0" w:color="auto"/>
              <w:right w:val="nil"/>
            </w:tcBorders>
            <w:shd w:val="clear" w:color="auto" w:fill="auto"/>
            <w:vAlign w:val="center"/>
            <w:hideMark/>
          </w:tcPr>
          <w:p w14:paraId="7922B5C7" w14:textId="77777777" w:rsidR="009E527B" w:rsidRPr="00EB6D39" w:rsidRDefault="009E527B" w:rsidP="009E527B">
            <w:pPr>
              <w:spacing w:after="0" w:line="240" w:lineRule="auto"/>
              <w:rPr>
                <w:rFonts w:ascii="Times New Roman" w:eastAsia="Times New Roman" w:hAnsi="Times New Roman" w:cs="Times New Roman"/>
                <w:b/>
                <w:bCs/>
                <w:i/>
                <w:iCs/>
                <w:kern w:val="0"/>
                <w:sz w:val="20"/>
                <w:szCs w:val="20"/>
                <w:lang w:eastAsia="sk-SK"/>
                <w14:ligatures w14:val="none"/>
              </w:rPr>
            </w:pPr>
            <w:r w:rsidRPr="00EB6D39">
              <w:rPr>
                <w:rFonts w:ascii="Times New Roman" w:eastAsia="Times New Roman" w:hAnsi="Times New Roman" w:cs="Times New Roman"/>
                <w:b/>
                <w:bCs/>
                <w:i/>
                <w:iCs/>
                <w:kern w:val="0"/>
                <w:sz w:val="20"/>
                <w:szCs w:val="20"/>
                <w:lang w:eastAsia="sk-SK"/>
                <w14:ligatures w14:val="none"/>
              </w:rPr>
              <w:t>Lieky spolu z toho</w:t>
            </w:r>
          </w:p>
        </w:tc>
        <w:tc>
          <w:tcPr>
            <w:tcW w:w="1843" w:type="dxa"/>
            <w:tcBorders>
              <w:top w:val="nil"/>
              <w:left w:val="single" w:sz="8" w:space="0" w:color="auto"/>
              <w:bottom w:val="single" w:sz="8" w:space="0" w:color="auto"/>
              <w:right w:val="single" w:sz="8" w:space="0" w:color="auto"/>
            </w:tcBorders>
            <w:shd w:val="clear" w:color="auto" w:fill="auto"/>
            <w:noWrap/>
            <w:vAlign w:val="center"/>
            <w:hideMark/>
          </w:tcPr>
          <w:p w14:paraId="43A48988" w14:textId="77777777" w:rsidR="009E527B" w:rsidRPr="00EB6D39" w:rsidRDefault="009E527B"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85 000 000</w:t>
            </w:r>
          </w:p>
        </w:tc>
      </w:tr>
      <w:tr w:rsidR="00EB6D39" w:rsidRPr="00EB6D39" w14:paraId="487CB1C3" w14:textId="77777777" w:rsidTr="00B710A6">
        <w:trPr>
          <w:trHeight w:val="780"/>
        </w:trPr>
        <w:tc>
          <w:tcPr>
            <w:tcW w:w="567" w:type="dxa"/>
            <w:tcBorders>
              <w:top w:val="nil"/>
              <w:left w:val="nil"/>
              <w:bottom w:val="nil"/>
              <w:right w:val="nil"/>
            </w:tcBorders>
            <w:shd w:val="clear" w:color="auto" w:fill="auto"/>
            <w:noWrap/>
            <w:vAlign w:val="bottom"/>
            <w:hideMark/>
          </w:tcPr>
          <w:p w14:paraId="2F22DAE0"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2.1.</w:t>
            </w:r>
          </w:p>
        </w:tc>
        <w:tc>
          <w:tcPr>
            <w:tcW w:w="6521" w:type="dxa"/>
            <w:tcBorders>
              <w:top w:val="nil"/>
              <w:left w:val="single" w:sz="8" w:space="0" w:color="auto"/>
              <w:bottom w:val="single" w:sz="4" w:space="0" w:color="auto"/>
              <w:right w:val="nil"/>
            </w:tcBorders>
            <w:shd w:val="clear" w:color="auto" w:fill="auto"/>
            <w:vAlign w:val="center"/>
            <w:hideMark/>
          </w:tcPr>
          <w:p w14:paraId="67337DE4" w14:textId="77777777" w:rsidR="009E527B" w:rsidRPr="00EB6D39" w:rsidRDefault="009E527B" w:rsidP="009E527B">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nová kategorizácia inovatívnych liekov na rok 2025 (metodika výpočtu – všetky podané žiadosti na portál s dopadmi na rok 2025 mínus konzervatívna zľava z ceny)</w:t>
            </w:r>
          </w:p>
        </w:tc>
        <w:tc>
          <w:tcPr>
            <w:tcW w:w="1843" w:type="dxa"/>
            <w:tcBorders>
              <w:top w:val="nil"/>
              <w:left w:val="single" w:sz="8" w:space="0" w:color="auto"/>
              <w:bottom w:val="single" w:sz="4" w:space="0" w:color="auto"/>
              <w:right w:val="single" w:sz="8" w:space="0" w:color="auto"/>
            </w:tcBorders>
            <w:shd w:val="clear" w:color="auto" w:fill="auto"/>
            <w:noWrap/>
            <w:vAlign w:val="center"/>
            <w:hideMark/>
          </w:tcPr>
          <w:p w14:paraId="3D718EB6" w14:textId="77777777" w:rsidR="009E527B" w:rsidRPr="00EB6D39" w:rsidRDefault="009E527B" w:rsidP="00B710A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70 000 000</w:t>
            </w:r>
          </w:p>
        </w:tc>
      </w:tr>
      <w:tr w:rsidR="00EB6D39" w:rsidRPr="00EB6D39" w14:paraId="394E31ED" w14:textId="77777777" w:rsidTr="00B710A6">
        <w:trPr>
          <w:trHeight w:val="1570"/>
        </w:trPr>
        <w:tc>
          <w:tcPr>
            <w:tcW w:w="567" w:type="dxa"/>
            <w:tcBorders>
              <w:top w:val="nil"/>
              <w:left w:val="nil"/>
              <w:bottom w:val="nil"/>
              <w:right w:val="nil"/>
            </w:tcBorders>
            <w:shd w:val="clear" w:color="auto" w:fill="auto"/>
            <w:noWrap/>
            <w:vAlign w:val="bottom"/>
            <w:hideMark/>
          </w:tcPr>
          <w:p w14:paraId="72BC50EA"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2.2.</w:t>
            </w:r>
          </w:p>
        </w:tc>
        <w:tc>
          <w:tcPr>
            <w:tcW w:w="6521" w:type="dxa"/>
            <w:tcBorders>
              <w:top w:val="nil"/>
              <w:left w:val="single" w:sz="8" w:space="0" w:color="auto"/>
              <w:bottom w:val="nil"/>
              <w:right w:val="nil"/>
            </w:tcBorders>
            <w:shd w:val="clear" w:color="auto" w:fill="auto"/>
            <w:vAlign w:val="center"/>
            <w:hideMark/>
          </w:tcPr>
          <w:p w14:paraId="3D79215C" w14:textId="77777777" w:rsidR="009E527B" w:rsidRPr="00EB6D39" w:rsidRDefault="009E527B" w:rsidP="009E527B">
            <w:pPr>
              <w:spacing w:after="0" w:line="240" w:lineRule="auto"/>
              <w:rPr>
                <w:rFonts w:ascii="Times New Roman" w:eastAsia="Times New Roman" w:hAnsi="Times New Roman" w:cs="Times New Roman"/>
                <w:i/>
                <w:iCs/>
                <w:kern w:val="0"/>
                <w:sz w:val="20"/>
                <w:szCs w:val="20"/>
                <w:lang w:eastAsia="sk-SK"/>
                <w14:ligatures w14:val="none"/>
              </w:rPr>
            </w:pPr>
            <w:r w:rsidRPr="00EB6D39">
              <w:rPr>
                <w:rFonts w:ascii="Times New Roman" w:eastAsia="Times New Roman" w:hAnsi="Times New Roman" w:cs="Times New Roman"/>
                <w:i/>
                <w:iCs/>
                <w:kern w:val="0"/>
                <w:sz w:val="20"/>
                <w:szCs w:val="20"/>
                <w:lang w:eastAsia="sk-SK"/>
                <w14:ligatures w14:val="none"/>
              </w:rPr>
              <w:t xml:space="preserve">navýšenie limitov úhrad pri bežiacich/ uzatvorených MEA zmluvách (pri prekročenom limite úhrad) - pokrývajú pacientov už na nastavenej liečbe/ pacienti nastavení na konkrétnu liečbu v terapeutických indikáciách - skleróza </w:t>
            </w:r>
            <w:proofErr w:type="spellStart"/>
            <w:r w:rsidRPr="00EB6D39">
              <w:rPr>
                <w:rFonts w:ascii="Times New Roman" w:eastAsia="Times New Roman" w:hAnsi="Times New Roman" w:cs="Times New Roman"/>
                <w:i/>
                <w:iCs/>
                <w:kern w:val="0"/>
                <w:sz w:val="20"/>
                <w:szCs w:val="20"/>
                <w:lang w:eastAsia="sk-SK"/>
                <w14:ligatures w14:val="none"/>
              </w:rPr>
              <w:t>multiplex</w:t>
            </w:r>
            <w:proofErr w:type="spellEnd"/>
            <w:r w:rsidRPr="00EB6D39">
              <w:rPr>
                <w:rFonts w:ascii="Times New Roman" w:eastAsia="Times New Roman" w:hAnsi="Times New Roman" w:cs="Times New Roman"/>
                <w:i/>
                <w:iCs/>
                <w:kern w:val="0"/>
                <w:sz w:val="20"/>
                <w:szCs w:val="20"/>
                <w:lang w:eastAsia="sk-SK"/>
                <w14:ligatures w14:val="none"/>
              </w:rPr>
              <w:t xml:space="preserve"> a srdcové zlyhanie, ak by sa nedohodli na ďalšie rozhodné obdobie a nenavýšime limit úhrad, inak hrozba, že odídu z trhu</w:t>
            </w:r>
          </w:p>
        </w:tc>
        <w:tc>
          <w:tcPr>
            <w:tcW w:w="1843" w:type="dxa"/>
            <w:tcBorders>
              <w:top w:val="nil"/>
              <w:left w:val="single" w:sz="8" w:space="0" w:color="auto"/>
              <w:bottom w:val="nil"/>
              <w:right w:val="single" w:sz="8" w:space="0" w:color="auto"/>
            </w:tcBorders>
            <w:shd w:val="clear" w:color="auto" w:fill="auto"/>
            <w:noWrap/>
            <w:vAlign w:val="center"/>
            <w:hideMark/>
          </w:tcPr>
          <w:p w14:paraId="6B01A61A" w14:textId="77777777" w:rsidR="009E527B" w:rsidRPr="00EB6D39" w:rsidRDefault="009E527B" w:rsidP="00B710A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15 000 000</w:t>
            </w:r>
          </w:p>
        </w:tc>
      </w:tr>
      <w:tr w:rsidR="00EB6D39" w:rsidRPr="00EB6D39" w14:paraId="1F40E9D0" w14:textId="77777777" w:rsidTr="00B710A6">
        <w:trPr>
          <w:trHeight w:val="530"/>
        </w:trPr>
        <w:tc>
          <w:tcPr>
            <w:tcW w:w="567" w:type="dxa"/>
            <w:tcBorders>
              <w:top w:val="nil"/>
              <w:left w:val="nil"/>
              <w:bottom w:val="nil"/>
              <w:right w:val="nil"/>
            </w:tcBorders>
            <w:shd w:val="clear" w:color="auto" w:fill="auto"/>
            <w:noWrap/>
            <w:vAlign w:val="bottom"/>
            <w:hideMark/>
          </w:tcPr>
          <w:p w14:paraId="07DE1BF4"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3.</w:t>
            </w:r>
          </w:p>
        </w:tc>
        <w:tc>
          <w:tcPr>
            <w:tcW w:w="6521" w:type="dxa"/>
            <w:tcBorders>
              <w:top w:val="single" w:sz="8" w:space="0" w:color="auto"/>
              <w:left w:val="single" w:sz="8" w:space="0" w:color="auto"/>
              <w:bottom w:val="single" w:sz="8" w:space="0" w:color="auto"/>
              <w:right w:val="nil"/>
            </w:tcBorders>
            <w:shd w:val="clear" w:color="auto" w:fill="auto"/>
            <w:vAlign w:val="center"/>
            <w:hideMark/>
          </w:tcPr>
          <w:p w14:paraId="6EE324B9" w14:textId="77777777" w:rsidR="009E527B" w:rsidRPr="00EB6D39" w:rsidRDefault="009E527B" w:rsidP="009E527B">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Zdravotnícke pomôcky - kategorizácia nových inovatívnych zdravotníckych pomôcok</w:t>
            </w:r>
          </w:p>
        </w:tc>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B04B92E" w14:textId="77777777" w:rsidR="009E527B" w:rsidRPr="00EB6D39" w:rsidRDefault="009E527B"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15 000 000</w:t>
            </w:r>
          </w:p>
        </w:tc>
      </w:tr>
      <w:tr w:rsidR="009E527B" w:rsidRPr="00EB6D39" w14:paraId="58CB81D7" w14:textId="77777777" w:rsidTr="00B710A6">
        <w:trPr>
          <w:trHeight w:val="530"/>
        </w:trPr>
        <w:tc>
          <w:tcPr>
            <w:tcW w:w="567" w:type="dxa"/>
            <w:tcBorders>
              <w:top w:val="nil"/>
              <w:left w:val="nil"/>
              <w:bottom w:val="nil"/>
              <w:right w:val="nil"/>
            </w:tcBorders>
            <w:shd w:val="clear" w:color="auto" w:fill="auto"/>
            <w:noWrap/>
            <w:vAlign w:val="bottom"/>
            <w:hideMark/>
          </w:tcPr>
          <w:p w14:paraId="18568AB6" w14:textId="77777777" w:rsidR="009E527B" w:rsidRPr="00EB6D39" w:rsidRDefault="009E527B" w:rsidP="009E527B">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w:t>
            </w:r>
          </w:p>
        </w:tc>
        <w:tc>
          <w:tcPr>
            <w:tcW w:w="6521" w:type="dxa"/>
            <w:tcBorders>
              <w:top w:val="nil"/>
              <w:left w:val="single" w:sz="8" w:space="0" w:color="auto"/>
              <w:bottom w:val="single" w:sz="8" w:space="0" w:color="auto"/>
              <w:right w:val="nil"/>
            </w:tcBorders>
            <w:shd w:val="clear" w:color="auto" w:fill="auto"/>
            <w:vAlign w:val="center"/>
            <w:hideMark/>
          </w:tcPr>
          <w:p w14:paraId="4B1419CB" w14:textId="77777777" w:rsidR="009E527B" w:rsidRPr="00EB6D39" w:rsidRDefault="009E527B" w:rsidP="009E527B">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Iná zdravotná starostlivosť - zvýšené nároky na cezhraničnú zdravotnú starostlivosť</w:t>
            </w:r>
          </w:p>
        </w:tc>
        <w:tc>
          <w:tcPr>
            <w:tcW w:w="1843" w:type="dxa"/>
            <w:tcBorders>
              <w:top w:val="nil"/>
              <w:left w:val="single" w:sz="8" w:space="0" w:color="auto"/>
              <w:bottom w:val="single" w:sz="8" w:space="0" w:color="auto"/>
              <w:right w:val="single" w:sz="8" w:space="0" w:color="auto"/>
            </w:tcBorders>
            <w:shd w:val="clear" w:color="auto" w:fill="auto"/>
            <w:noWrap/>
            <w:vAlign w:val="center"/>
            <w:hideMark/>
          </w:tcPr>
          <w:p w14:paraId="5D2E6AFE" w14:textId="19D9F7D2" w:rsidR="009E527B" w:rsidRPr="00EB6D39" w:rsidRDefault="00157439" w:rsidP="00B710A6">
            <w:pPr>
              <w:pStyle w:val="Odsekzoznamu"/>
              <w:spacing w:after="0" w:line="240" w:lineRule="auto"/>
              <w:jc w:val="right"/>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20 000 000</w:t>
            </w:r>
          </w:p>
        </w:tc>
      </w:tr>
    </w:tbl>
    <w:p w14:paraId="33210403" w14:textId="77777777" w:rsidR="009E527B" w:rsidRPr="00EB6D39" w:rsidRDefault="009E527B" w:rsidP="00A01BDC">
      <w:pPr>
        <w:pStyle w:val="p1"/>
        <w:jc w:val="both"/>
        <w:rPr>
          <w:rFonts w:ascii="Times New Roman" w:eastAsiaTheme="minorEastAsia" w:hAnsi="Times New Roman"/>
          <w:color w:val="auto"/>
          <w:sz w:val="24"/>
          <w:szCs w:val="24"/>
          <w:lang w:eastAsia="en-US"/>
        </w:rPr>
      </w:pPr>
    </w:p>
    <w:p w14:paraId="4044FB9C" w14:textId="71595EEF" w:rsidR="001C355B" w:rsidRPr="00EB6D39" w:rsidRDefault="00157439" w:rsidP="00157439">
      <w:pPr>
        <w:pStyle w:val="Zkladntext"/>
        <w:spacing w:before="0" w:line="276" w:lineRule="auto"/>
        <w:ind w:firstLine="708"/>
        <w:jc w:val="both"/>
        <w:rPr>
          <w:b w:val="0"/>
          <w:szCs w:val="24"/>
        </w:rPr>
      </w:pPr>
      <w:r w:rsidRPr="00EB6D39">
        <w:rPr>
          <w:b w:val="0"/>
          <w:szCs w:val="24"/>
        </w:rPr>
        <w:t xml:space="preserve">V rámci zmien politík na realizáciu priorít štátnej zdravotnej politiky v roku 2025 </w:t>
      </w:r>
      <w:r w:rsidR="001C355B" w:rsidRPr="00EB6D39">
        <w:rPr>
          <w:b w:val="0"/>
          <w:szCs w:val="24"/>
        </w:rPr>
        <w:t xml:space="preserve">Ministerstvo zdravotníctva Slovenskej republiky </w:t>
      </w:r>
      <w:r w:rsidR="000E5BA2" w:rsidRPr="00EB6D39">
        <w:rPr>
          <w:b w:val="0"/>
          <w:szCs w:val="24"/>
        </w:rPr>
        <w:t xml:space="preserve">dodatočne </w:t>
      </w:r>
      <w:r w:rsidRPr="00EB6D39">
        <w:rPr>
          <w:b w:val="0"/>
          <w:szCs w:val="24"/>
        </w:rPr>
        <w:t>vyčleňuje sumu 125 mil. eur</w:t>
      </w:r>
      <w:r w:rsidR="001C355B" w:rsidRPr="00EB6D39">
        <w:rPr>
          <w:b w:val="0"/>
          <w:szCs w:val="24"/>
        </w:rPr>
        <w:t xml:space="preserve">. V rámci týchto politík </w:t>
      </w:r>
      <w:r w:rsidRPr="00EB6D39">
        <w:rPr>
          <w:b w:val="0"/>
          <w:szCs w:val="24"/>
        </w:rPr>
        <w:t xml:space="preserve">sa </w:t>
      </w:r>
      <w:r w:rsidR="001C355B" w:rsidRPr="00EB6D39">
        <w:rPr>
          <w:b w:val="0"/>
          <w:szCs w:val="24"/>
        </w:rPr>
        <w:t>alok</w:t>
      </w:r>
      <w:r w:rsidRPr="00EB6D39">
        <w:rPr>
          <w:b w:val="0"/>
          <w:szCs w:val="24"/>
        </w:rPr>
        <w:t xml:space="preserve">uje </w:t>
      </w:r>
      <w:r w:rsidR="001C355B" w:rsidRPr="00EB6D39">
        <w:rPr>
          <w:b w:val="0"/>
          <w:szCs w:val="24"/>
        </w:rPr>
        <w:t>sum</w:t>
      </w:r>
      <w:r w:rsidRPr="00EB6D39">
        <w:rPr>
          <w:b w:val="0"/>
          <w:szCs w:val="24"/>
        </w:rPr>
        <w:t>a</w:t>
      </w:r>
      <w:r w:rsidR="001C355B" w:rsidRPr="00EB6D39">
        <w:rPr>
          <w:b w:val="0"/>
          <w:szCs w:val="24"/>
        </w:rPr>
        <w:t xml:space="preserve"> 5</w:t>
      </w:r>
      <w:r w:rsidRPr="00EB6D39">
        <w:rPr>
          <w:b w:val="0"/>
          <w:szCs w:val="24"/>
        </w:rPr>
        <w:t xml:space="preserve"> mil. eur</w:t>
      </w:r>
      <w:r w:rsidR="001C355B" w:rsidRPr="00EB6D39">
        <w:rPr>
          <w:b w:val="0"/>
          <w:szCs w:val="24"/>
        </w:rPr>
        <w:t xml:space="preserve"> na tvorbu nového zoznamu ambulantných zdravotných výkonov – pilotovaním už existujúcich a schválených  zoznamov zdravotných výkonov, ktoré boli v roku 2024 pripravené pre fázu ich testovania, a ktoré majú zabezpečiť zdravotné poisťovne s vybranými poskytovateľmi zdravotnej starostlivosti (ďalej len „PZS“). Zoznamy nových výkonov sú zverejnené na webovom sídle ministerstva (https://health.gov.sk/?ZZV). </w:t>
      </w:r>
    </w:p>
    <w:p w14:paraId="57AB0482" w14:textId="77777777" w:rsidR="000E5BA2" w:rsidRPr="00EB6D39" w:rsidRDefault="000E5BA2" w:rsidP="00157439">
      <w:pPr>
        <w:pStyle w:val="Zkladntext"/>
        <w:spacing w:before="0" w:line="276" w:lineRule="auto"/>
        <w:ind w:firstLine="708"/>
        <w:jc w:val="both"/>
        <w:rPr>
          <w:b w:val="0"/>
          <w:szCs w:val="24"/>
        </w:rPr>
      </w:pPr>
    </w:p>
    <w:p w14:paraId="3F3E2F84" w14:textId="7D9DB442" w:rsidR="001C355B" w:rsidRPr="00EB6D39" w:rsidRDefault="001C355B" w:rsidP="00157439">
      <w:pPr>
        <w:pStyle w:val="Zkladntext"/>
        <w:spacing w:before="0" w:line="276" w:lineRule="auto"/>
        <w:ind w:firstLine="708"/>
        <w:jc w:val="both"/>
        <w:rPr>
          <w:b w:val="0"/>
          <w:bCs/>
          <w:szCs w:val="24"/>
        </w:rPr>
      </w:pPr>
      <w:r w:rsidRPr="00EB6D39">
        <w:rPr>
          <w:b w:val="0"/>
          <w:bCs/>
          <w:szCs w:val="24"/>
        </w:rPr>
        <w:t xml:space="preserve">Pokiaľ ide o lieky plánuje sa v roku 2025 okrem prirodzeného nárastu vynaložiť na lieky sumu </w:t>
      </w:r>
      <w:r w:rsidR="00157439" w:rsidRPr="00EB6D39">
        <w:rPr>
          <w:b w:val="0"/>
          <w:bCs/>
          <w:szCs w:val="24"/>
        </w:rPr>
        <w:t xml:space="preserve">85 mil. eur z toho </w:t>
      </w:r>
      <w:r w:rsidRPr="00EB6D39">
        <w:rPr>
          <w:b w:val="0"/>
          <w:bCs/>
          <w:szCs w:val="24"/>
        </w:rPr>
        <w:t>7</w:t>
      </w:r>
      <w:r w:rsidR="00157439" w:rsidRPr="00EB6D39">
        <w:rPr>
          <w:b w:val="0"/>
          <w:bCs/>
          <w:szCs w:val="24"/>
        </w:rPr>
        <w:t xml:space="preserve">0 mil. </w:t>
      </w:r>
      <w:r w:rsidRPr="00EB6D39">
        <w:rPr>
          <w:b w:val="0"/>
          <w:bCs/>
          <w:szCs w:val="24"/>
        </w:rPr>
        <w:t>eur predstavuje nová kategorizácia inovatívnych liekov na rok 2025 a</w:t>
      </w:r>
      <w:r w:rsidR="00157439" w:rsidRPr="00EB6D39">
        <w:rPr>
          <w:b w:val="0"/>
          <w:bCs/>
          <w:szCs w:val="24"/>
        </w:rPr>
        <w:t> 15 mil.</w:t>
      </w:r>
      <w:r w:rsidRPr="00EB6D39">
        <w:rPr>
          <w:b w:val="0"/>
          <w:bCs/>
          <w:szCs w:val="24"/>
        </w:rPr>
        <w:t xml:space="preserve"> eur predstavuje navýšenie limitov úhrad pri </w:t>
      </w:r>
      <w:r w:rsidR="00157439" w:rsidRPr="00EB6D39">
        <w:rPr>
          <w:b w:val="0"/>
          <w:bCs/>
          <w:szCs w:val="24"/>
        </w:rPr>
        <w:t xml:space="preserve">už </w:t>
      </w:r>
      <w:r w:rsidRPr="00EB6D39">
        <w:rPr>
          <w:b w:val="0"/>
          <w:bCs/>
          <w:szCs w:val="24"/>
        </w:rPr>
        <w:t xml:space="preserve">uzatvorených MEA zmluvách (pri prekročenom limite úhrad) - pokrývajú pacientov už na nastavenej liečbe/ pacienti nastavení na konkrétnu liečbu v terapeutických indikáciách - skleróza </w:t>
      </w:r>
      <w:proofErr w:type="spellStart"/>
      <w:r w:rsidRPr="00EB6D39">
        <w:rPr>
          <w:b w:val="0"/>
          <w:bCs/>
          <w:szCs w:val="24"/>
        </w:rPr>
        <w:t>multiplex</w:t>
      </w:r>
      <w:proofErr w:type="spellEnd"/>
      <w:r w:rsidRPr="00EB6D39">
        <w:rPr>
          <w:b w:val="0"/>
          <w:bCs/>
          <w:szCs w:val="24"/>
        </w:rPr>
        <w:t xml:space="preserve"> a srdcové zlyhanie.</w:t>
      </w:r>
    </w:p>
    <w:p w14:paraId="5C9CEBBA" w14:textId="77777777" w:rsidR="000E5BA2" w:rsidRPr="00EB6D39" w:rsidRDefault="000E5BA2" w:rsidP="00157439">
      <w:pPr>
        <w:pStyle w:val="Zkladntext"/>
        <w:spacing w:before="0" w:line="276" w:lineRule="auto"/>
        <w:ind w:firstLine="708"/>
        <w:jc w:val="both"/>
        <w:rPr>
          <w:b w:val="0"/>
          <w:bCs/>
          <w:szCs w:val="24"/>
        </w:rPr>
      </w:pPr>
    </w:p>
    <w:p w14:paraId="6C55653D" w14:textId="15B66CE9" w:rsidR="001C355B" w:rsidRPr="00EB6D39" w:rsidRDefault="001C355B" w:rsidP="00157439">
      <w:pPr>
        <w:pStyle w:val="Zkladntext"/>
        <w:spacing w:before="0" w:line="276" w:lineRule="auto"/>
        <w:ind w:firstLine="708"/>
        <w:jc w:val="both"/>
        <w:rPr>
          <w:b w:val="0"/>
          <w:bCs/>
          <w:szCs w:val="24"/>
        </w:rPr>
      </w:pPr>
      <w:r w:rsidRPr="00EB6D39">
        <w:rPr>
          <w:b w:val="0"/>
          <w:bCs/>
          <w:szCs w:val="24"/>
        </w:rPr>
        <w:t xml:space="preserve">Na zdravotnícke pomôcky sa plánuje vynaložiť suma 15 </w:t>
      </w:r>
      <w:r w:rsidR="00157439" w:rsidRPr="00EB6D39">
        <w:rPr>
          <w:b w:val="0"/>
          <w:bCs/>
          <w:szCs w:val="24"/>
        </w:rPr>
        <w:t>mil. eur</w:t>
      </w:r>
      <w:r w:rsidRPr="00EB6D39">
        <w:rPr>
          <w:b w:val="0"/>
          <w:bCs/>
          <w:szCs w:val="24"/>
        </w:rPr>
        <w:t xml:space="preserve"> na kategorizáciu nových inovatívnych zdravotníckych pomôcok.</w:t>
      </w:r>
    </w:p>
    <w:p w14:paraId="6E3F1153" w14:textId="77777777" w:rsidR="000E5BA2" w:rsidRPr="00EB6D39" w:rsidRDefault="000E5BA2" w:rsidP="00157439">
      <w:pPr>
        <w:pStyle w:val="Zkladntext"/>
        <w:spacing w:before="0" w:line="276" w:lineRule="auto"/>
        <w:ind w:firstLine="708"/>
        <w:jc w:val="both"/>
        <w:rPr>
          <w:b w:val="0"/>
          <w:bCs/>
          <w:szCs w:val="24"/>
        </w:rPr>
      </w:pPr>
    </w:p>
    <w:p w14:paraId="3416A77F" w14:textId="231A5B2C" w:rsidR="009F63D9" w:rsidRPr="00EB6D39" w:rsidRDefault="001C355B" w:rsidP="00157439">
      <w:pPr>
        <w:pStyle w:val="p1"/>
        <w:ind w:firstLine="708"/>
        <w:jc w:val="both"/>
        <w:rPr>
          <w:rFonts w:ascii="Times New Roman" w:hAnsi="Times New Roman"/>
          <w:bCs/>
          <w:color w:val="auto"/>
          <w:sz w:val="24"/>
          <w:szCs w:val="24"/>
        </w:rPr>
      </w:pPr>
      <w:r w:rsidRPr="00EB6D39">
        <w:rPr>
          <w:rFonts w:ascii="Times New Roman" w:hAnsi="Times New Roman"/>
          <w:bCs/>
          <w:color w:val="auto"/>
          <w:sz w:val="24"/>
          <w:szCs w:val="24"/>
        </w:rPr>
        <w:t xml:space="preserve">Na inú zdravotnú starostlivosť je potrebné vynaložiť </w:t>
      </w:r>
      <w:r w:rsidR="00157439" w:rsidRPr="00EB6D39">
        <w:rPr>
          <w:rFonts w:ascii="Times New Roman" w:hAnsi="Times New Roman"/>
          <w:bCs/>
          <w:color w:val="auto"/>
          <w:sz w:val="24"/>
          <w:szCs w:val="24"/>
        </w:rPr>
        <w:t>2</w:t>
      </w:r>
      <w:r w:rsidRPr="00EB6D39">
        <w:rPr>
          <w:rFonts w:ascii="Times New Roman" w:hAnsi="Times New Roman"/>
          <w:bCs/>
          <w:color w:val="auto"/>
          <w:sz w:val="24"/>
          <w:szCs w:val="24"/>
        </w:rPr>
        <w:t xml:space="preserve">0 </w:t>
      </w:r>
      <w:r w:rsidR="00157439" w:rsidRPr="00EB6D39">
        <w:rPr>
          <w:rFonts w:ascii="Times New Roman" w:hAnsi="Times New Roman"/>
          <w:bCs/>
          <w:color w:val="auto"/>
          <w:sz w:val="24"/>
          <w:szCs w:val="24"/>
        </w:rPr>
        <w:t>mil. eur</w:t>
      </w:r>
      <w:r w:rsidRPr="00EB6D39">
        <w:rPr>
          <w:rFonts w:ascii="Times New Roman" w:hAnsi="Times New Roman"/>
          <w:bCs/>
          <w:color w:val="auto"/>
          <w:sz w:val="24"/>
          <w:szCs w:val="24"/>
        </w:rPr>
        <w:t xml:space="preserve"> nakoľko tieto výdavky </w:t>
      </w:r>
      <w:r w:rsidR="00157439" w:rsidRPr="00EB6D39">
        <w:rPr>
          <w:rFonts w:ascii="Times New Roman" w:hAnsi="Times New Roman"/>
          <w:bCs/>
          <w:color w:val="auto"/>
          <w:sz w:val="24"/>
          <w:szCs w:val="24"/>
        </w:rPr>
        <w:t xml:space="preserve">zdravotné poisťovne nevedia </w:t>
      </w:r>
      <w:r w:rsidRPr="00EB6D39">
        <w:rPr>
          <w:rFonts w:ascii="Times New Roman" w:hAnsi="Times New Roman"/>
          <w:bCs/>
          <w:color w:val="auto"/>
          <w:sz w:val="24"/>
          <w:szCs w:val="24"/>
        </w:rPr>
        <w:t>ovplyvniť vzhľadom na to, že ide zvýšené nároky na cezhraničnú zdravotnú starostlivosť, pacienti majú nárok na refundáciu starostlivosti poskytnutej v inom členskom štáte. Táto starostlivosť bude rásť aj vzhľadom na predlžujúce sa čakacie doby na plánované operácie.</w:t>
      </w:r>
    </w:p>
    <w:p w14:paraId="45285C8F" w14:textId="77777777" w:rsidR="009F63D9" w:rsidRPr="00EB6D39" w:rsidRDefault="009F63D9">
      <w:pPr>
        <w:rPr>
          <w:rFonts w:ascii="Times New Roman" w:eastAsia="Times New Roman" w:hAnsi="Times New Roman" w:cs="Times New Roman"/>
          <w:bCs/>
          <w:kern w:val="0"/>
          <w:sz w:val="24"/>
          <w:szCs w:val="24"/>
          <w:lang w:eastAsia="sk-SK"/>
          <w14:ligatures w14:val="none"/>
        </w:rPr>
      </w:pPr>
      <w:r w:rsidRPr="00EB6D39">
        <w:rPr>
          <w:rFonts w:ascii="Times New Roman" w:hAnsi="Times New Roman"/>
          <w:bCs/>
          <w:sz w:val="24"/>
          <w:szCs w:val="24"/>
        </w:rPr>
        <w:br w:type="page"/>
      </w:r>
    </w:p>
    <w:p w14:paraId="1D256682" w14:textId="3C357630" w:rsidR="006032E7" w:rsidRPr="00EB6D39" w:rsidRDefault="006032E7" w:rsidP="006032E7">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lastRenderedPageBreak/>
        <w:t>Úsporné opatrenia</w:t>
      </w:r>
    </w:p>
    <w:p w14:paraId="1F702C48" w14:textId="77777777" w:rsidR="008B3073" w:rsidRPr="00EB6D39" w:rsidRDefault="008B3073" w:rsidP="006032E7">
      <w:pPr>
        <w:pStyle w:val="p1"/>
        <w:jc w:val="both"/>
        <w:rPr>
          <w:rFonts w:ascii="Times New Roman" w:eastAsiaTheme="minorEastAsia" w:hAnsi="Times New Roman"/>
          <w:b/>
          <w:bCs/>
          <w:color w:val="auto"/>
          <w:sz w:val="24"/>
          <w:szCs w:val="24"/>
          <w:lang w:eastAsia="en-US"/>
        </w:rPr>
      </w:pPr>
    </w:p>
    <w:p w14:paraId="3EDA380F" w14:textId="0A3B8CD8" w:rsidR="006032E7" w:rsidRPr="00663746" w:rsidRDefault="00D6028D" w:rsidP="006032E7">
      <w:pPr>
        <w:pStyle w:val="p1"/>
        <w:jc w:val="both"/>
        <w:rPr>
          <w:rFonts w:ascii="Times New Roman" w:eastAsiaTheme="minorEastAsia" w:hAnsi="Times New Roman"/>
          <w:color w:val="auto"/>
          <w:sz w:val="22"/>
          <w:szCs w:val="22"/>
          <w:lang w:eastAsia="en-US"/>
        </w:rPr>
      </w:pPr>
      <w:r w:rsidRPr="00663746">
        <w:rPr>
          <w:rFonts w:ascii="Times New Roman" w:hAnsi="Times New Roman"/>
          <w:b/>
          <w:bCs/>
          <w:color w:val="auto"/>
          <w:sz w:val="22"/>
          <w:szCs w:val="22"/>
        </w:rPr>
        <w:t xml:space="preserve">Tabuľka </w:t>
      </w:r>
      <w:r w:rsidR="003F6971" w:rsidRPr="00663746">
        <w:rPr>
          <w:rFonts w:ascii="Times New Roman" w:hAnsi="Times New Roman"/>
          <w:b/>
          <w:bCs/>
          <w:color w:val="auto"/>
          <w:sz w:val="22"/>
          <w:szCs w:val="22"/>
        </w:rPr>
        <w:t>8</w:t>
      </w:r>
      <w:r w:rsidRPr="00663746">
        <w:rPr>
          <w:rFonts w:ascii="Times New Roman" w:hAnsi="Times New Roman"/>
          <w:b/>
          <w:bCs/>
          <w:color w:val="auto"/>
          <w:sz w:val="22"/>
          <w:szCs w:val="22"/>
        </w:rPr>
        <w:t>: Úsporné opatrenia</w:t>
      </w:r>
      <w:r w:rsidR="008B3073" w:rsidRPr="00663746">
        <w:rPr>
          <w:rFonts w:ascii="Times New Roman" w:hAnsi="Times New Roman"/>
          <w:b/>
          <w:bCs/>
          <w:color w:val="auto"/>
          <w:sz w:val="22"/>
          <w:szCs w:val="22"/>
        </w:rPr>
        <w:t xml:space="preserve"> pre rok 2025</w:t>
      </w:r>
    </w:p>
    <w:tbl>
      <w:tblPr>
        <w:tblW w:w="9214" w:type="dxa"/>
        <w:tblCellMar>
          <w:left w:w="70" w:type="dxa"/>
          <w:right w:w="70" w:type="dxa"/>
        </w:tblCellMar>
        <w:tblLook w:val="04A0" w:firstRow="1" w:lastRow="0" w:firstColumn="1" w:lastColumn="0" w:noHBand="0" w:noVBand="1"/>
      </w:tblPr>
      <w:tblGrid>
        <w:gridCol w:w="709"/>
        <w:gridCol w:w="7229"/>
        <w:gridCol w:w="1276"/>
      </w:tblGrid>
      <w:tr w:rsidR="00EB6D39" w:rsidRPr="00EB6D39" w14:paraId="773A575B" w14:textId="77777777" w:rsidTr="0043689D">
        <w:trPr>
          <w:trHeight w:val="352"/>
        </w:trPr>
        <w:tc>
          <w:tcPr>
            <w:tcW w:w="709" w:type="dxa"/>
            <w:tcBorders>
              <w:top w:val="nil"/>
              <w:left w:val="nil"/>
              <w:bottom w:val="nil"/>
              <w:right w:val="single" w:sz="4" w:space="0" w:color="auto"/>
            </w:tcBorders>
            <w:shd w:val="clear" w:color="auto" w:fill="auto"/>
            <w:noWrap/>
            <w:vAlign w:val="bottom"/>
            <w:hideMark/>
          </w:tcPr>
          <w:p w14:paraId="624FFF23" w14:textId="77777777" w:rsidR="00D6028D" w:rsidRPr="00EB6D39" w:rsidRDefault="00D6028D" w:rsidP="00D6028D">
            <w:pPr>
              <w:spacing w:after="0" w:line="240" w:lineRule="auto"/>
              <w:jc w:val="center"/>
              <w:rPr>
                <w:rFonts w:ascii="Times New Roman" w:eastAsia="Times New Roman" w:hAnsi="Times New Roman" w:cs="Times New Roman"/>
                <w:kern w:val="0"/>
                <w:sz w:val="20"/>
                <w:szCs w:val="20"/>
                <w:lang w:eastAsia="sk-SK"/>
                <w14:ligatures w14:val="none"/>
              </w:rPr>
            </w:pPr>
          </w:p>
        </w:tc>
        <w:tc>
          <w:tcPr>
            <w:tcW w:w="722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1FBC944" w14:textId="7DA2BE7D" w:rsidR="00D6028D" w:rsidRPr="00EB6D39" w:rsidRDefault="00D6028D" w:rsidP="00D6028D">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Úsporné opatrenia spolu z</w:t>
            </w:r>
            <w:r w:rsidR="000354BE" w:rsidRPr="00EB6D39">
              <w:rPr>
                <w:rFonts w:ascii="Times New Roman" w:eastAsia="Times New Roman" w:hAnsi="Times New Roman" w:cs="Times New Roman"/>
                <w:b/>
                <w:bCs/>
                <w:kern w:val="0"/>
                <w:sz w:val="20"/>
                <w:szCs w:val="20"/>
                <w:lang w:eastAsia="sk-SK"/>
                <w14:ligatures w14:val="none"/>
              </w:rPr>
              <w:t> </w:t>
            </w:r>
            <w:r w:rsidRPr="00EB6D39">
              <w:rPr>
                <w:rFonts w:ascii="Times New Roman" w:eastAsia="Times New Roman" w:hAnsi="Times New Roman" w:cs="Times New Roman"/>
                <w:b/>
                <w:bCs/>
                <w:kern w:val="0"/>
                <w:sz w:val="20"/>
                <w:szCs w:val="20"/>
                <w:lang w:eastAsia="sk-SK"/>
                <w14:ligatures w14:val="none"/>
              </w:rPr>
              <w:t>toho</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651098" w14:textId="1E43D78A" w:rsidR="00D6028D" w:rsidRPr="00EB6D39" w:rsidRDefault="00663746" w:rsidP="00D6028D">
            <w:pPr>
              <w:spacing w:after="0" w:line="240" w:lineRule="auto"/>
              <w:jc w:val="right"/>
              <w:rPr>
                <w:rFonts w:ascii="Times New Roman" w:eastAsia="Times New Roman" w:hAnsi="Times New Roman" w:cs="Times New Roman"/>
                <w:b/>
                <w:bCs/>
                <w:kern w:val="0"/>
                <w:sz w:val="20"/>
                <w:szCs w:val="20"/>
                <w:lang w:eastAsia="sk-SK"/>
                <w14:ligatures w14:val="none"/>
              </w:rPr>
            </w:pPr>
            <w:r w:rsidRPr="00663746">
              <w:rPr>
                <w:rFonts w:ascii="Times New Roman" w:eastAsia="Times New Roman" w:hAnsi="Times New Roman" w:cs="Times New Roman"/>
                <w:b/>
                <w:bCs/>
                <w:kern w:val="0"/>
                <w:sz w:val="20"/>
                <w:szCs w:val="20"/>
                <w:lang w:eastAsia="sk-SK"/>
                <w14:ligatures w14:val="none"/>
              </w:rPr>
              <w:t>-283 827 013</w:t>
            </w:r>
          </w:p>
        </w:tc>
      </w:tr>
      <w:tr w:rsidR="00EB6D39" w:rsidRPr="00EB6D39" w14:paraId="313BBDB3" w14:textId="77777777" w:rsidTr="003344B0">
        <w:trPr>
          <w:trHeight w:val="282"/>
        </w:trPr>
        <w:tc>
          <w:tcPr>
            <w:tcW w:w="709" w:type="dxa"/>
            <w:tcBorders>
              <w:top w:val="nil"/>
              <w:left w:val="nil"/>
              <w:bottom w:val="nil"/>
              <w:right w:val="single" w:sz="4" w:space="0" w:color="auto"/>
            </w:tcBorders>
            <w:shd w:val="clear" w:color="auto" w:fill="auto"/>
            <w:noWrap/>
            <w:vAlign w:val="bottom"/>
            <w:hideMark/>
          </w:tcPr>
          <w:p w14:paraId="14362A7C"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D08843A"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Nemocnice spolu</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C59337"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-66 009 337</w:t>
            </w:r>
          </w:p>
        </w:tc>
      </w:tr>
      <w:tr w:rsidR="00EB6D39" w:rsidRPr="00EB6D39" w14:paraId="30E88B79"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52FE0EED"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1.1.</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78F78E1"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Audit v štátnych nemocniciach</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D4753"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-19 200 000</w:t>
            </w:r>
          </w:p>
        </w:tc>
      </w:tr>
      <w:tr w:rsidR="00EB6D39" w:rsidRPr="00EB6D39" w14:paraId="538FC730" w14:textId="77777777" w:rsidTr="003344B0">
        <w:trPr>
          <w:trHeight w:val="366"/>
        </w:trPr>
        <w:tc>
          <w:tcPr>
            <w:tcW w:w="709" w:type="dxa"/>
            <w:tcBorders>
              <w:top w:val="nil"/>
              <w:left w:val="nil"/>
              <w:bottom w:val="nil"/>
              <w:right w:val="single" w:sz="4" w:space="0" w:color="auto"/>
            </w:tcBorders>
            <w:shd w:val="clear" w:color="auto" w:fill="auto"/>
            <w:noWrap/>
            <w:vAlign w:val="bottom"/>
            <w:hideMark/>
          </w:tcPr>
          <w:p w14:paraId="670AACAB"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1.2.</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8F0BFE" w14:textId="6F06D024"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Úspora na obstarávaní liekov a</w:t>
            </w:r>
            <w:r w:rsidR="008B3073" w:rsidRPr="00EB6D39">
              <w:rPr>
                <w:rFonts w:ascii="Times New Roman" w:eastAsia="Times New Roman" w:hAnsi="Times New Roman" w:cs="Times New Roman"/>
                <w:kern w:val="0"/>
                <w:sz w:val="20"/>
                <w:szCs w:val="20"/>
                <w:lang w:eastAsia="sk-SK"/>
                <w14:ligatures w14:val="none"/>
              </w:rPr>
              <w:t xml:space="preserve"> ŠZM </w:t>
            </w:r>
            <w:r w:rsidRPr="00EB6D39">
              <w:rPr>
                <w:rFonts w:ascii="Times New Roman" w:eastAsia="Times New Roman" w:hAnsi="Times New Roman" w:cs="Times New Roman"/>
                <w:kern w:val="0"/>
                <w:sz w:val="20"/>
                <w:szCs w:val="20"/>
                <w:lang w:eastAsia="sk-SK"/>
                <w14:ligatures w14:val="none"/>
              </w:rPr>
              <w:t>v štátnych nemocniciach</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CBCA04"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-30 000 000</w:t>
            </w:r>
          </w:p>
        </w:tc>
      </w:tr>
      <w:tr w:rsidR="00EB6D39" w:rsidRPr="00EB6D39" w14:paraId="0E13AA4A"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2F865505"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1.3.</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786D05"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Viac úväzkoví lekári v štátnych nemocniciach</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FB283D"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-1 809 337</w:t>
            </w:r>
          </w:p>
        </w:tc>
      </w:tr>
      <w:tr w:rsidR="00EB6D39" w:rsidRPr="00EB6D39" w14:paraId="6AC6E68A" w14:textId="77777777" w:rsidTr="003344B0">
        <w:trPr>
          <w:trHeight w:val="350"/>
        </w:trPr>
        <w:tc>
          <w:tcPr>
            <w:tcW w:w="709" w:type="dxa"/>
            <w:tcBorders>
              <w:top w:val="nil"/>
              <w:left w:val="nil"/>
              <w:bottom w:val="nil"/>
              <w:right w:val="single" w:sz="4" w:space="0" w:color="auto"/>
            </w:tcBorders>
            <w:shd w:val="clear" w:color="auto" w:fill="auto"/>
            <w:noWrap/>
            <w:vAlign w:val="bottom"/>
            <w:hideMark/>
          </w:tcPr>
          <w:p w14:paraId="2391DBFB"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1.4.</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B0ECB3"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Znížená DPH na špeciálny zdravotnícky materiál v nemocniciach z toho</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55190"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-15 000 000</w:t>
            </w:r>
          </w:p>
        </w:tc>
      </w:tr>
      <w:tr w:rsidR="00EB6D39" w:rsidRPr="00EB6D39" w14:paraId="504F6497" w14:textId="77777777" w:rsidTr="003344B0">
        <w:trPr>
          <w:trHeight w:val="263"/>
        </w:trPr>
        <w:tc>
          <w:tcPr>
            <w:tcW w:w="709" w:type="dxa"/>
            <w:tcBorders>
              <w:top w:val="nil"/>
              <w:left w:val="nil"/>
              <w:bottom w:val="nil"/>
              <w:right w:val="single" w:sz="4" w:space="0" w:color="auto"/>
            </w:tcBorders>
            <w:shd w:val="clear" w:color="auto" w:fill="auto"/>
            <w:noWrap/>
            <w:vAlign w:val="bottom"/>
            <w:hideMark/>
          </w:tcPr>
          <w:p w14:paraId="6B872541"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1.4.1.</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D28D2"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pre štátne nemocnice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3E405"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-8 550 000</w:t>
            </w:r>
          </w:p>
        </w:tc>
      </w:tr>
      <w:tr w:rsidR="00EB6D39" w:rsidRPr="00EB6D39" w14:paraId="4D45A135" w14:textId="77777777" w:rsidTr="00663746">
        <w:trPr>
          <w:trHeight w:val="266"/>
        </w:trPr>
        <w:tc>
          <w:tcPr>
            <w:tcW w:w="709" w:type="dxa"/>
            <w:tcBorders>
              <w:top w:val="nil"/>
              <w:left w:val="nil"/>
              <w:bottom w:val="nil"/>
              <w:right w:val="single" w:sz="4" w:space="0" w:color="auto"/>
            </w:tcBorders>
            <w:shd w:val="clear" w:color="auto" w:fill="auto"/>
            <w:noWrap/>
            <w:vAlign w:val="bottom"/>
            <w:hideMark/>
          </w:tcPr>
          <w:p w14:paraId="10D2C75B"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1.4.2.</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36A104"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pre neštátne nemocnice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CBB759"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-6 450 000</w:t>
            </w:r>
          </w:p>
        </w:tc>
      </w:tr>
      <w:tr w:rsidR="00663746" w:rsidRPr="00EB6D39" w14:paraId="41D608D1" w14:textId="77777777" w:rsidTr="00663746">
        <w:trPr>
          <w:trHeight w:val="300"/>
        </w:trPr>
        <w:tc>
          <w:tcPr>
            <w:tcW w:w="709" w:type="dxa"/>
            <w:tcBorders>
              <w:top w:val="nil"/>
              <w:left w:val="nil"/>
              <w:bottom w:val="nil"/>
              <w:right w:val="single" w:sz="4" w:space="0" w:color="auto"/>
            </w:tcBorders>
            <w:shd w:val="clear" w:color="auto" w:fill="auto"/>
            <w:noWrap/>
            <w:vAlign w:val="bottom"/>
            <w:hideMark/>
          </w:tcPr>
          <w:p w14:paraId="0346455D" w14:textId="77777777" w:rsidR="00663746" w:rsidRPr="00EB6D39" w:rsidRDefault="00663746" w:rsidP="0066374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DFA726" w14:textId="77777777" w:rsidR="00663746" w:rsidRPr="00EB6D39" w:rsidRDefault="00663746" w:rsidP="0066374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Lieky, dietetické potraviny a spolu z toho</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41C36A5" w14:textId="71FB8D0D" w:rsidR="00663746" w:rsidRPr="00663746" w:rsidRDefault="00663746" w:rsidP="00663746">
            <w:pPr>
              <w:spacing w:after="0" w:line="240" w:lineRule="auto"/>
              <w:jc w:val="right"/>
              <w:rPr>
                <w:rFonts w:ascii="Times New Roman" w:eastAsia="Times New Roman" w:hAnsi="Times New Roman" w:cs="Times New Roman"/>
                <w:b/>
                <w:bCs/>
                <w:kern w:val="0"/>
                <w:sz w:val="20"/>
                <w:szCs w:val="20"/>
                <w:lang w:eastAsia="sk-SK"/>
                <w14:ligatures w14:val="none"/>
              </w:rPr>
            </w:pPr>
            <w:r w:rsidRPr="00663746">
              <w:rPr>
                <w:rFonts w:ascii="Times New Roman" w:eastAsia="Times New Roman" w:hAnsi="Times New Roman" w:cs="Times New Roman"/>
                <w:b/>
                <w:bCs/>
                <w:kern w:val="0"/>
                <w:sz w:val="20"/>
                <w:szCs w:val="20"/>
                <w:lang w:eastAsia="sk-SK"/>
                <w14:ligatures w14:val="none"/>
              </w:rPr>
              <w:t>-190 717 676</w:t>
            </w:r>
          </w:p>
        </w:tc>
      </w:tr>
      <w:tr w:rsidR="00663746" w:rsidRPr="00EB6D39" w14:paraId="6E9DF581" w14:textId="77777777" w:rsidTr="00663746">
        <w:trPr>
          <w:trHeight w:val="530"/>
        </w:trPr>
        <w:tc>
          <w:tcPr>
            <w:tcW w:w="709" w:type="dxa"/>
            <w:tcBorders>
              <w:top w:val="nil"/>
              <w:left w:val="nil"/>
              <w:bottom w:val="nil"/>
              <w:right w:val="single" w:sz="4" w:space="0" w:color="auto"/>
            </w:tcBorders>
            <w:shd w:val="clear" w:color="auto" w:fill="auto"/>
            <w:noWrap/>
            <w:vAlign w:val="bottom"/>
            <w:hideMark/>
          </w:tcPr>
          <w:p w14:paraId="35E0BDB9" w14:textId="77777777" w:rsidR="00663746" w:rsidRPr="00EB6D39" w:rsidRDefault="00663746" w:rsidP="0066374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2.1.</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DB3143" w14:textId="77777777" w:rsidR="00663746" w:rsidRPr="00EB6D39" w:rsidRDefault="00663746" w:rsidP="00663746">
            <w:pPr>
              <w:spacing w:after="0" w:line="240" w:lineRule="auto"/>
              <w:rPr>
                <w:rFonts w:ascii="Times New Roman" w:eastAsia="Times New Roman" w:hAnsi="Times New Roman" w:cs="Times New Roman"/>
                <w:kern w:val="0"/>
                <w:sz w:val="20"/>
                <w:szCs w:val="20"/>
                <w:lang w:eastAsia="sk-SK"/>
                <w14:ligatures w14:val="none"/>
              </w:rPr>
            </w:pPr>
            <w:proofErr w:type="spellStart"/>
            <w:r w:rsidRPr="00EB6D39">
              <w:rPr>
                <w:rFonts w:ascii="Times New Roman" w:eastAsia="Times New Roman" w:hAnsi="Times New Roman" w:cs="Times New Roman"/>
                <w:kern w:val="0"/>
                <w:sz w:val="20"/>
                <w:szCs w:val="20"/>
                <w:lang w:eastAsia="sk-SK"/>
                <w14:ligatures w14:val="none"/>
              </w:rPr>
              <w:t>Pay</w:t>
            </w:r>
            <w:proofErr w:type="spellEnd"/>
            <w:r w:rsidRPr="00EB6D39">
              <w:rPr>
                <w:rFonts w:ascii="Times New Roman" w:eastAsia="Times New Roman" w:hAnsi="Times New Roman" w:cs="Times New Roman"/>
                <w:kern w:val="0"/>
                <w:sz w:val="20"/>
                <w:szCs w:val="20"/>
                <w:lang w:eastAsia="sk-SK"/>
                <w14:ligatures w14:val="none"/>
              </w:rPr>
              <w:t xml:space="preserve"> </w:t>
            </w:r>
            <w:proofErr w:type="spellStart"/>
            <w:r w:rsidRPr="00EB6D39">
              <w:rPr>
                <w:rFonts w:ascii="Times New Roman" w:eastAsia="Times New Roman" w:hAnsi="Times New Roman" w:cs="Times New Roman"/>
                <w:kern w:val="0"/>
                <w:sz w:val="20"/>
                <w:szCs w:val="20"/>
                <w:lang w:eastAsia="sk-SK"/>
                <w14:ligatures w14:val="none"/>
              </w:rPr>
              <w:t>back</w:t>
            </w:r>
            <w:proofErr w:type="spellEnd"/>
            <w:r w:rsidRPr="00EB6D39">
              <w:rPr>
                <w:rFonts w:ascii="Times New Roman" w:eastAsia="Times New Roman" w:hAnsi="Times New Roman" w:cs="Times New Roman"/>
                <w:kern w:val="0"/>
                <w:sz w:val="20"/>
                <w:szCs w:val="20"/>
                <w:lang w:eastAsia="sk-SK"/>
                <w14:ligatures w14:val="none"/>
              </w:rPr>
              <w:t xml:space="preserve"> za „MEA lieky“ za predchádzajúce roky, ktoré sa stretnú </w:t>
            </w:r>
            <w:proofErr w:type="spellStart"/>
            <w:r w:rsidRPr="00EB6D39">
              <w:rPr>
                <w:rFonts w:ascii="Times New Roman" w:eastAsia="Times New Roman" w:hAnsi="Times New Roman" w:cs="Times New Roman"/>
                <w:kern w:val="0"/>
                <w:sz w:val="20"/>
                <w:szCs w:val="20"/>
                <w:lang w:eastAsia="sk-SK"/>
                <w14:ligatures w14:val="none"/>
              </w:rPr>
              <w:t>cashovo</w:t>
            </w:r>
            <w:proofErr w:type="spellEnd"/>
            <w:r w:rsidRPr="00EB6D39">
              <w:rPr>
                <w:rFonts w:ascii="Times New Roman" w:eastAsia="Times New Roman" w:hAnsi="Times New Roman" w:cs="Times New Roman"/>
                <w:kern w:val="0"/>
                <w:sz w:val="20"/>
                <w:szCs w:val="20"/>
                <w:lang w:eastAsia="sk-SK"/>
                <w14:ligatures w14:val="none"/>
              </w:rPr>
              <w:t xml:space="preserve"> v rozpočtovom roku  - predpokladaná spätná platba</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8FD7CA8" w14:textId="0DC67010" w:rsidR="00663746" w:rsidRPr="00EB6D39" w:rsidRDefault="00663746" w:rsidP="00663746">
            <w:pPr>
              <w:spacing w:after="0" w:line="240" w:lineRule="auto"/>
              <w:jc w:val="right"/>
              <w:rPr>
                <w:rFonts w:ascii="Times New Roman" w:eastAsia="Times New Roman" w:hAnsi="Times New Roman" w:cs="Times New Roman"/>
                <w:kern w:val="0"/>
                <w:sz w:val="20"/>
                <w:szCs w:val="20"/>
                <w:lang w:eastAsia="sk-SK"/>
                <w14:ligatures w14:val="none"/>
              </w:rPr>
            </w:pPr>
            <w:r w:rsidRPr="00663746">
              <w:rPr>
                <w:rFonts w:ascii="Times New Roman" w:eastAsia="Times New Roman" w:hAnsi="Times New Roman" w:cs="Times New Roman"/>
                <w:kern w:val="0"/>
                <w:sz w:val="20"/>
                <w:szCs w:val="20"/>
                <w:lang w:eastAsia="sk-SK"/>
                <w14:ligatures w14:val="none"/>
              </w:rPr>
              <w:t>-62 517 676</w:t>
            </w:r>
          </w:p>
        </w:tc>
      </w:tr>
      <w:tr w:rsidR="00EB6D39" w:rsidRPr="00EB6D39" w14:paraId="4A00F9C2" w14:textId="77777777" w:rsidTr="003344B0">
        <w:trPr>
          <w:trHeight w:val="790"/>
        </w:trPr>
        <w:tc>
          <w:tcPr>
            <w:tcW w:w="709" w:type="dxa"/>
            <w:tcBorders>
              <w:top w:val="nil"/>
              <w:left w:val="nil"/>
              <w:bottom w:val="nil"/>
              <w:right w:val="single" w:sz="4" w:space="0" w:color="auto"/>
            </w:tcBorders>
            <w:shd w:val="clear" w:color="auto" w:fill="auto"/>
            <w:noWrap/>
            <w:vAlign w:val="bottom"/>
            <w:hideMark/>
          </w:tcPr>
          <w:p w14:paraId="0155AAA4"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2.2.</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80035C"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Vyrovnací rozdiel - čo má rozhodnúť MZSR (vydať rozhodnutie o vrátení platieb za prečerpanie limitov inovatívnych liekov podmienene zaradených od roku 2018 do roku 2022)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DB997"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-8 200 000</w:t>
            </w:r>
          </w:p>
        </w:tc>
      </w:tr>
      <w:tr w:rsidR="00EB6D39" w:rsidRPr="00EB6D39" w14:paraId="107E1114" w14:textId="77777777" w:rsidTr="0043689D">
        <w:trPr>
          <w:trHeight w:val="790"/>
        </w:trPr>
        <w:tc>
          <w:tcPr>
            <w:tcW w:w="709" w:type="dxa"/>
            <w:tcBorders>
              <w:top w:val="nil"/>
              <w:left w:val="nil"/>
              <w:bottom w:val="nil"/>
              <w:right w:val="single" w:sz="4" w:space="0" w:color="auto"/>
            </w:tcBorders>
            <w:shd w:val="clear" w:color="auto" w:fill="auto"/>
            <w:noWrap/>
            <w:vAlign w:val="bottom"/>
            <w:hideMark/>
          </w:tcPr>
          <w:p w14:paraId="0B5A55AE"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2.3.</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5AE5B"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Revízia úhrad liekov - vstup jednoprahový čiže len na úrovni prvého biologicky podobného-  zľava z konečnej ceny lieku 25%, prvého generického lieku  - zľava z konečnej ceny lieku vo výške 49 %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EB11A"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-15 000 000</w:t>
            </w:r>
          </w:p>
        </w:tc>
      </w:tr>
      <w:tr w:rsidR="00EB6D39" w:rsidRPr="00EB6D39" w14:paraId="0B971F84" w14:textId="77777777" w:rsidTr="003344B0">
        <w:trPr>
          <w:trHeight w:val="606"/>
        </w:trPr>
        <w:tc>
          <w:tcPr>
            <w:tcW w:w="709" w:type="dxa"/>
            <w:tcBorders>
              <w:top w:val="nil"/>
              <w:left w:val="nil"/>
              <w:bottom w:val="nil"/>
              <w:right w:val="single" w:sz="4" w:space="0" w:color="auto"/>
            </w:tcBorders>
            <w:shd w:val="clear" w:color="auto" w:fill="auto"/>
            <w:noWrap/>
            <w:vAlign w:val="bottom"/>
            <w:hideMark/>
          </w:tcPr>
          <w:p w14:paraId="0EB2E416"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2.4.</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4E539"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proofErr w:type="spellStart"/>
            <w:r w:rsidRPr="00EB6D39">
              <w:rPr>
                <w:rFonts w:ascii="Times New Roman" w:eastAsia="Times New Roman" w:hAnsi="Times New Roman" w:cs="Times New Roman"/>
                <w:kern w:val="0"/>
                <w:sz w:val="20"/>
                <w:szCs w:val="20"/>
                <w:lang w:eastAsia="sk-SK"/>
                <w14:ligatures w14:val="none"/>
              </w:rPr>
              <w:t>Referencovanie</w:t>
            </w:r>
            <w:proofErr w:type="spellEnd"/>
            <w:r w:rsidRPr="00EB6D39">
              <w:rPr>
                <w:rFonts w:ascii="Times New Roman" w:eastAsia="Times New Roman" w:hAnsi="Times New Roman" w:cs="Times New Roman"/>
                <w:kern w:val="0"/>
                <w:sz w:val="20"/>
                <w:szCs w:val="20"/>
                <w:lang w:eastAsia="sk-SK"/>
                <w14:ligatures w14:val="none"/>
              </w:rPr>
              <w:t xml:space="preserve">/ porovnávanie úradne určených cien liekov 4 x ročne, najväčšia úspora je po </w:t>
            </w:r>
            <w:proofErr w:type="spellStart"/>
            <w:r w:rsidRPr="00EB6D39">
              <w:rPr>
                <w:rFonts w:ascii="Times New Roman" w:eastAsia="Times New Roman" w:hAnsi="Times New Roman" w:cs="Times New Roman"/>
                <w:kern w:val="0"/>
                <w:sz w:val="20"/>
                <w:szCs w:val="20"/>
                <w:lang w:eastAsia="sk-SK"/>
                <w14:ligatures w14:val="none"/>
              </w:rPr>
              <w:t>referencovaní</w:t>
            </w:r>
            <w:proofErr w:type="spellEnd"/>
            <w:r w:rsidRPr="00EB6D39">
              <w:rPr>
                <w:rFonts w:ascii="Times New Roman" w:eastAsia="Times New Roman" w:hAnsi="Times New Roman" w:cs="Times New Roman"/>
                <w:kern w:val="0"/>
                <w:sz w:val="20"/>
                <w:szCs w:val="20"/>
                <w:lang w:eastAsia="sk-SK"/>
                <w14:ligatures w14:val="none"/>
              </w:rPr>
              <w:t xml:space="preserve"> celého zoznamu kategorizovaných liekov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3AB59E"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-25 000 000</w:t>
            </w:r>
          </w:p>
        </w:tc>
      </w:tr>
      <w:tr w:rsidR="00EB6D39" w:rsidRPr="00EB6D39" w14:paraId="39FB4B6B" w14:textId="77777777" w:rsidTr="003344B0">
        <w:trPr>
          <w:trHeight w:val="1271"/>
        </w:trPr>
        <w:tc>
          <w:tcPr>
            <w:tcW w:w="709" w:type="dxa"/>
            <w:tcBorders>
              <w:top w:val="nil"/>
              <w:left w:val="nil"/>
              <w:bottom w:val="nil"/>
              <w:right w:val="single" w:sz="4" w:space="0" w:color="auto"/>
            </w:tcBorders>
            <w:shd w:val="clear" w:color="auto" w:fill="auto"/>
            <w:noWrap/>
            <w:vAlign w:val="bottom"/>
            <w:hideMark/>
          </w:tcPr>
          <w:p w14:paraId="146C3CE0"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2.5.</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80803"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proofErr w:type="spellStart"/>
            <w:r w:rsidRPr="00EB6D39">
              <w:rPr>
                <w:rFonts w:ascii="Times New Roman" w:eastAsia="Times New Roman" w:hAnsi="Times New Roman" w:cs="Times New Roman"/>
                <w:kern w:val="0"/>
                <w:sz w:val="20"/>
                <w:szCs w:val="20"/>
                <w:lang w:eastAsia="sk-SK"/>
                <w14:ligatures w14:val="none"/>
              </w:rPr>
              <w:t>Dekategorizácia</w:t>
            </w:r>
            <w:proofErr w:type="spellEnd"/>
            <w:r w:rsidRPr="00EB6D39">
              <w:rPr>
                <w:rFonts w:ascii="Times New Roman" w:eastAsia="Times New Roman" w:hAnsi="Times New Roman" w:cs="Times New Roman"/>
                <w:kern w:val="0"/>
                <w:sz w:val="20"/>
                <w:szCs w:val="20"/>
                <w:lang w:eastAsia="sk-SK"/>
                <w14:ligatures w14:val="none"/>
              </w:rPr>
              <w:t xml:space="preserve"> liekov - lieky ktoré stratili štatút </w:t>
            </w:r>
            <w:proofErr w:type="spellStart"/>
            <w:r w:rsidRPr="00EB6D39">
              <w:rPr>
                <w:rFonts w:ascii="Times New Roman" w:eastAsia="Times New Roman" w:hAnsi="Times New Roman" w:cs="Times New Roman"/>
                <w:kern w:val="0"/>
                <w:sz w:val="20"/>
                <w:szCs w:val="20"/>
                <w:lang w:eastAsia="sk-SK"/>
                <w14:ligatures w14:val="none"/>
              </w:rPr>
              <w:t>Rx</w:t>
            </w:r>
            <w:proofErr w:type="spellEnd"/>
            <w:r w:rsidRPr="00EB6D39">
              <w:rPr>
                <w:rFonts w:ascii="Times New Roman" w:eastAsia="Times New Roman" w:hAnsi="Times New Roman" w:cs="Times New Roman"/>
                <w:kern w:val="0"/>
                <w:sz w:val="20"/>
                <w:szCs w:val="20"/>
                <w:lang w:eastAsia="sk-SK"/>
                <w14:ligatures w14:val="none"/>
              </w:rPr>
              <w:t xml:space="preserve"> (viazané na recept)- registráciu/ boli </w:t>
            </w:r>
            <w:proofErr w:type="spellStart"/>
            <w:r w:rsidRPr="00EB6D39">
              <w:rPr>
                <w:rFonts w:ascii="Times New Roman" w:eastAsia="Times New Roman" w:hAnsi="Times New Roman" w:cs="Times New Roman"/>
                <w:kern w:val="0"/>
                <w:sz w:val="20"/>
                <w:szCs w:val="20"/>
                <w:lang w:eastAsia="sk-SK"/>
                <w14:ligatures w14:val="none"/>
              </w:rPr>
              <w:t>deregistrované</w:t>
            </w:r>
            <w:proofErr w:type="spellEnd"/>
            <w:r w:rsidRPr="00EB6D39">
              <w:rPr>
                <w:rFonts w:ascii="Times New Roman" w:eastAsia="Times New Roman" w:hAnsi="Times New Roman" w:cs="Times New Roman"/>
                <w:kern w:val="0"/>
                <w:sz w:val="20"/>
                <w:szCs w:val="20"/>
                <w:lang w:eastAsia="sk-SK"/>
                <w14:ligatures w14:val="none"/>
              </w:rPr>
              <w:t xml:space="preserve"> ŠUKL, prirodzený vývoj, ministerstvo otvorí KON z vlastného podnetu, vyradia sa lieky hradené z VZP, ktoré spadajú aj do PDOP limitu § 87c zákon 363/2011 </w:t>
            </w:r>
            <w:proofErr w:type="spellStart"/>
            <w:r w:rsidRPr="00EB6D39">
              <w:rPr>
                <w:rFonts w:ascii="Times New Roman" w:eastAsia="Times New Roman" w:hAnsi="Times New Roman" w:cs="Times New Roman"/>
                <w:kern w:val="0"/>
                <w:sz w:val="20"/>
                <w:szCs w:val="20"/>
                <w:lang w:eastAsia="sk-SK"/>
                <w14:ligatures w14:val="none"/>
              </w:rPr>
              <w:t>Z.z</w:t>
            </w:r>
            <w:proofErr w:type="spellEnd"/>
            <w:r w:rsidRPr="00EB6D39">
              <w:rPr>
                <w:rFonts w:ascii="Times New Roman" w:eastAsia="Times New Roman" w:hAnsi="Times New Roman" w:cs="Times New Roman"/>
                <w:kern w:val="0"/>
                <w:sz w:val="20"/>
                <w:szCs w:val="20"/>
                <w:lang w:eastAsia="sk-SK"/>
                <w14:ligatures w14:val="none"/>
              </w:rPr>
              <w:t xml:space="preserve">. - lieky zo skupiny  vitamínov, minerálov a pod. – Ca, Mg, ale aj topické liekové formy, rovnako spadajú do PDOP limitu § 87c zákon 363/2011 </w:t>
            </w:r>
            <w:proofErr w:type="spellStart"/>
            <w:r w:rsidRPr="00EB6D39">
              <w:rPr>
                <w:rFonts w:ascii="Times New Roman" w:eastAsia="Times New Roman" w:hAnsi="Times New Roman" w:cs="Times New Roman"/>
                <w:kern w:val="0"/>
                <w:sz w:val="20"/>
                <w:szCs w:val="20"/>
                <w:lang w:eastAsia="sk-SK"/>
                <w14:ligatures w14:val="none"/>
              </w:rPr>
              <w:t>Z.z</w:t>
            </w:r>
            <w:proofErr w:type="spellEnd"/>
            <w:r w:rsidRPr="00EB6D39">
              <w:rPr>
                <w:rFonts w:ascii="Times New Roman" w:eastAsia="Times New Roman" w:hAnsi="Times New Roman" w:cs="Times New Roman"/>
                <w:kern w:val="0"/>
                <w:sz w:val="20"/>
                <w:szCs w:val="20"/>
                <w:lang w:eastAsia="sk-SK"/>
                <w14:ligatures w14:val="none"/>
              </w:rPr>
              <w:t>.</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81C22"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-4 000 000</w:t>
            </w:r>
          </w:p>
        </w:tc>
      </w:tr>
      <w:tr w:rsidR="00EB6D39" w:rsidRPr="00EB6D39" w14:paraId="3AA2D8CD"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2EE0E7EF"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2.6.</w:t>
            </w:r>
          </w:p>
        </w:tc>
        <w:tc>
          <w:tcPr>
            <w:tcW w:w="72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E8123" w14:textId="736BE731"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Znížená DPH na lieky a na dietetické potraviny</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CCFDD"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-76 000 000</w:t>
            </w:r>
          </w:p>
        </w:tc>
      </w:tr>
      <w:tr w:rsidR="00EB6D39" w:rsidRPr="00EB6D39" w14:paraId="205E9FB8"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2073205D" w14:textId="77777777" w:rsidR="002E0946" w:rsidRPr="00EB6D39" w:rsidRDefault="002E0946" w:rsidP="002E094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3.</w:t>
            </w:r>
          </w:p>
        </w:tc>
        <w:tc>
          <w:tcPr>
            <w:tcW w:w="72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AD6161" w14:textId="0D913538" w:rsidR="002E0946" w:rsidRPr="00EB6D39" w:rsidRDefault="002E0946" w:rsidP="002E094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Znížená DPH na zdravotnícke pomôcky</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7DBF06" w14:textId="16B366E9" w:rsidR="002E0946" w:rsidRPr="00EB6D39" w:rsidRDefault="002E0946" w:rsidP="002E094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-10 000 000</w:t>
            </w:r>
          </w:p>
        </w:tc>
      </w:tr>
      <w:tr w:rsidR="00EB6D39" w:rsidRPr="00EB6D39" w14:paraId="47286CAC"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3205E9FE"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4.</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EE744A"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Ukrajinci s dočasným útočiskom platí MZSR z kapitoly MZSR</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F00B83"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-15 000 000</w:t>
            </w:r>
          </w:p>
        </w:tc>
      </w:tr>
      <w:tr w:rsidR="00EB6D39" w:rsidRPr="00EB6D39" w14:paraId="48B90EAE" w14:textId="77777777" w:rsidTr="003344B0">
        <w:trPr>
          <w:trHeight w:val="300"/>
        </w:trPr>
        <w:tc>
          <w:tcPr>
            <w:tcW w:w="709" w:type="dxa"/>
            <w:tcBorders>
              <w:top w:val="nil"/>
              <w:left w:val="nil"/>
              <w:bottom w:val="nil"/>
              <w:right w:val="single" w:sz="4" w:space="0" w:color="auto"/>
            </w:tcBorders>
            <w:shd w:val="clear" w:color="auto" w:fill="auto"/>
            <w:noWrap/>
            <w:vAlign w:val="bottom"/>
            <w:hideMark/>
          </w:tcPr>
          <w:p w14:paraId="31D38694"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5.</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DEB95B" w14:textId="77777777" w:rsidR="00D6028D" w:rsidRPr="00EB6D39" w:rsidRDefault="00D6028D" w:rsidP="00D6028D">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Kúpeľná starostlivosť - zvýšenie efektivity</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98683" w14:textId="77777777" w:rsidR="00D6028D" w:rsidRPr="00EB6D39" w:rsidRDefault="00D6028D" w:rsidP="00D6028D">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-2 100 000</w:t>
            </w:r>
          </w:p>
        </w:tc>
      </w:tr>
    </w:tbl>
    <w:p w14:paraId="5C2835C8" w14:textId="77777777" w:rsidR="000E5BA2" w:rsidRPr="00EB6D39" w:rsidRDefault="000E5BA2" w:rsidP="006032E7">
      <w:pPr>
        <w:pStyle w:val="p1"/>
        <w:jc w:val="both"/>
        <w:rPr>
          <w:rFonts w:ascii="Times New Roman" w:eastAsiaTheme="minorEastAsia" w:hAnsi="Times New Roman"/>
          <w:b/>
          <w:bCs/>
          <w:color w:val="auto"/>
          <w:sz w:val="24"/>
          <w:szCs w:val="24"/>
          <w:lang w:eastAsia="en-US"/>
        </w:rPr>
      </w:pPr>
    </w:p>
    <w:p w14:paraId="788FA8C4" w14:textId="7555158A" w:rsidR="002E0946" w:rsidRPr="00EB6D39" w:rsidRDefault="006032E7" w:rsidP="006032E7">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t>Lieky</w:t>
      </w:r>
      <w:r w:rsidR="009256F1" w:rsidRPr="00EB6D39">
        <w:rPr>
          <w:rFonts w:ascii="Times New Roman" w:eastAsiaTheme="minorEastAsia" w:hAnsi="Times New Roman"/>
          <w:b/>
          <w:bCs/>
          <w:color w:val="auto"/>
          <w:sz w:val="24"/>
          <w:szCs w:val="24"/>
          <w:lang w:eastAsia="en-US"/>
        </w:rPr>
        <w:t>, dietetické potraviny</w:t>
      </w:r>
      <w:r w:rsidRPr="00EB6D39">
        <w:rPr>
          <w:rFonts w:ascii="Times New Roman" w:eastAsiaTheme="minorEastAsia" w:hAnsi="Times New Roman"/>
          <w:b/>
          <w:bCs/>
          <w:color w:val="auto"/>
          <w:sz w:val="24"/>
          <w:szCs w:val="24"/>
          <w:lang w:eastAsia="en-US"/>
        </w:rPr>
        <w:t xml:space="preserve"> a zdravotnícke pomôcky</w:t>
      </w:r>
    </w:p>
    <w:p w14:paraId="26F5735B" w14:textId="05BDA8F6" w:rsidR="002E0946" w:rsidRPr="00EB6D39" w:rsidRDefault="006032E7" w:rsidP="0043689D">
      <w:pPr>
        <w:pStyle w:val="p1"/>
        <w:ind w:firstLine="708"/>
        <w:jc w:val="both"/>
        <w:rPr>
          <w:rFonts w:ascii="Times New Roman" w:eastAsiaTheme="minorEastAsia" w:hAnsi="Times New Roman"/>
          <w:color w:val="auto"/>
          <w:sz w:val="24"/>
          <w:szCs w:val="24"/>
          <w:lang w:eastAsia="en-US"/>
        </w:rPr>
      </w:pPr>
      <w:bookmarkStart w:id="4" w:name="OLE_LINK2"/>
      <w:r w:rsidRPr="00EB6D39">
        <w:rPr>
          <w:rFonts w:ascii="Times New Roman" w:eastAsiaTheme="minorEastAsia" w:hAnsi="Times New Roman"/>
          <w:color w:val="auto"/>
          <w:sz w:val="24"/>
          <w:szCs w:val="24"/>
          <w:lang w:eastAsia="en-US"/>
        </w:rPr>
        <w:t xml:space="preserve">Potenciál úsporných opatrení pri liekoch v roku 2025 sa odhaduje vo výške </w:t>
      </w:r>
      <w:r w:rsidR="00D6028D" w:rsidRPr="00EB6D39">
        <w:rPr>
          <w:rFonts w:ascii="Times New Roman" w:eastAsiaTheme="minorEastAsia" w:hAnsi="Times New Roman"/>
          <w:color w:val="auto"/>
          <w:sz w:val="24"/>
          <w:szCs w:val="24"/>
          <w:lang w:eastAsia="en-US"/>
        </w:rPr>
        <w:t>1</w:t>
      </w:r>
      <w:r w:rsidR="00663746">
        <w:rPr>
          <w:rFonts w:ascii="Times New Roman" w:eastAsiaTheme="minorEastAsia" w:hAnsi="Times New Roman"/>
          <w:color w:val="auto"/>
          <w:sz w:val="24"/>
          <w:szCs w:val="24"/>
          <w:lang w:eastAsia="en-US"/>
        </w:rPr>
        <w:t>90</w:t>
      </w:r>
      <w:r w:rsidRPr="00EB6D39">
        <w:rPr>
          <w:rFonts w:ascii="Times New Roman" w:eastAsiaTheme="minorEastAsia" w:hAnsi="Times New Roman"/>
          <w:color w:val="auto"/>
          <w:sz w:val="24"/>
          <w:szCs w:val="24"/>
          <w:lang w:eastAsia="en-US"/>
        </w:rPr>
        <w:t xml:space="preserve"> mil. eur</w:t>
      </w:r>
      <w:r w:rsidR="00D6028D" w:rsidRPr="00EB6D39">
        <w:rPr>
          <w:rFonts w:ascii="Times New Roman" w:eastAsiaTheme="minorEastAsia" w:hAnsi="Times New Roman"/>
          <w:color w:val="auto"/>
          <w:sz w:val="24"/>
          <w:szCs w:val="24"/>
          <w:lang w:eastAsia="en-US"/>
        </w:rPr>
        <w:t xml:space="preserve"> vrátane </w:t>
      </w:r>
      <w:r w:rsidR="00980A7E" w:rsidRPr="00EB6D39">
        <w:rPr>
          <w:rFonts w:ascii="Times New Roman" w:eastAsiaTheme="minorEastAsia" w:hAnsi="Times New Roman"/>
          <w:color w:val="auto"/>
          <w:sz w:val="24"/>
          <w:szCs w:val="24"/>
          <w:lang w:eastAsia="en-US"/>
        </w:rPr>
        <w:t>úspory na zníženej DPH na lieky</w:t>
      </w:r>
      <w:r w:rsidR="00D6028D" w:rsidRPr="00EB6D39">
        <w:rPr>
          <w:rFonts w:ascii="Times New Roman" w:eastAsiaTheme="minorEastAsia" w:hAnsi="Times New Roman"/>
          <w:color w:val="auto"/>
          <w:sz w:val="24"/>
          <w:szCs w:val="24"/>
          <w:lang w:eastAsia="en-US"/>
        </w:rPr>
        <w:t>, ktorá</w:t>
      </w:r>
      <w:r w:rsidR="00980A7E" w:rsidRPr="00EB6D39">
        <w:rPr>
          <w:rFonts w:ascii="Times New Roman" w:eastAsiaTheme="minorEastAsia" w:hAnsi="Times New Roman"/>
          <w:color w:val="auto"/>
          <w:sz w:val="24"/>
          <w:szCs w:val="24"/>
          <w:lang w:eastAsia="en-US"/>
        </w:rPr>
        <w:t xml:space="preserve"> </w:t>
      </w:r>
      <w:r w:rsidR="009256F1" w:rsidRPr="00EB6D39">
        <w:rPr>
          <w:rFonts w:ascii="Times New Roman" w:eastAsiaTheme="minorEastAsia" w:hAnsi="Times New Roman"/>
          <w:color w:val="auto"/>
          <w:sz w:val="24"/>
          <w:szCs w:val="24"/>
          <w:lang w:eastAsia="en-US"/>
        </w:rPr>
        <w:t>predstavuj</w:t>
      </w:r>
      <w:r w:rsidR="00D6028D" w:rsidRPr="00EB6D39">
        <w:rPr>
          <w:rFonts w:ascii="Times New Roman" w:eastAsiaTheme="minorEastAsia" w:hAnsi="Times New Roman"/>
          <w:color w:val="auto"/>
          <w:sz w:val="24"/>
          <w:szCs w:val="24"/>
          <w:lang w:eastAsia="en-US"/>
        </w:rPr>
        <w:t>e</w:t>
      </w:r>
      <w:r w:rsidR="009256F1" w:rsidRPr="00EB6D39">
        <w:rPr>
          <w:rFonts w:ascii="Times New Roman" w:eastAsiaTheme="minorEastAsia" w:hAnsi="Times New Roman"/>
          <w:color w:val="auto"/>
          <w:sz w:val="24"/>
          <w:szCs w:val="24"/>
          <w:lang w:eastAsia="en-US"/>
        </w:rPr>
        <w:t xml:space="preserve"> úsporu vo výške</w:t>
      </w:r>
      <w:r w:rsidR="00980A7E" w:rsidRPr="00EB6D39">
        <w:rPr>
          <w:rFonts w:ascii="Times New Roman" w:eastAsiaTheme="minorEastAsia" w:hAnsi="Times New Roman"/>
          <w:color w:val="auto"/>
          <w:sz w:val="24"/>
          <w:szCs w:val="24"/>
          <w:lang w:eastAsia="en-US"/>
        </w:rPr>
        <w:t xml:space="preserve"> </w:t>
      </w:r>
      <w:r w:rsidRPr="00EB6D39">
        <w:rPr>
          <w:rFonts w:ascii="Times New Roman" w:eastAsiaTheme="minorEastAsia" w:hAnsi="Times New Roman"/>
          <w:color w:val="auto"/>
          <w:sz w:val="24"/>
          <w:szCs w:val="24"/>
          <w:lang w:eastAsia="en-US"/>
        </w:rPr>
        <w:t>76 mil. eur</w:t>
      </w:r>
      <w:r w:rsidR="009256F1" w:rsidRPr="00EB6D39">
        <w:rPr>
          <w:rFonts w:ascii="Times New Roman" w:eastAsiaTheme="minorEastAsia" w:hAnsi="Times New Roman"/>
          <w:color w:val="auto"/>
          <w:sz w:val="24"/>
          <w:szCs w:val="24"/>
          <w:lang w:eastAsia="en-US"/>
        </w:rPr>
        <w:t>.</w:t>
      </w:r>
      <w:r w:rsidRPr="00EB6D39">
        <w:rPr>
          <w:rFonts w:ascii="Times New Roman" w:eastAsiaTheme="minorEastAsia" w:hAnsi="Times New Roman"/>
          <w:color w:val="auto"/>
          <w:sz w:val="24"/>
          <w:szCs w:val="24"/>
          <w:lang w:eastAsia="en-US"/>
        </w:rPr>
        <w:t xml:space="preserve"> Znížená DPH na zdravotnícke pomôcky predstavuje dodatočnú úsporu 10 </w:t>
      </w:r>
      <w:r w:rsidR="002E0946" w:rsidRPr="00EB6D39">
        <w:rPr>
          <w:rFonts w:ascii="Times New Roman" w:eastAsiaTheme="minorEastAsia" w:hAnsi="Times New Roman"/>
          <w:color w:val="auto"/>
          <w:sz w:val="24"/>
          <w:szCs w:val="24"/>
          <w:lang w:eastAsia="en-US"/>
        </w:rPr>
        <w:t>mil.</w:t>
      </w:r>
      <w:r w:rsidRPr="00EB6D39">
        <w:rPr>
          <w:rFonts w:ascii="Times New Roman" w:eastAsiaTheme="minorEastAsia" w:hAnsi="Times New Roman"/>
          <w:color w:val="auto"/>
          <w:sz w:val="24"/>
          <w:szCs w:val="24"/>
          <w:lang w:eastAsia="en-US"/>
        </w:rPr>
        <w:t xml:space="preserve"> eur. Očakáva sa, že na tzv. </w:t>
      </w:r>
      <w:proofErr w:type="spellStart"/>
      <w:r w:rsidRPr="00EB6D39">
        <w:rPr>
          <w:rFonts w:ascii="Times New Roman" w:eastAsiaTheme="minorEastAsia" w:hAnsi="Times New Roman"/>
          <w:color w:val="auto"/>
          <w:sz w:val="24"/>
          <w:szCs w:val="24"/>
          <w:lang w:eastAsia="en-US"/>
        </w:rPr>
        <w:t>Pay</w:t>
      </w:r>
      <w:proofErr w:type="spellEnd"/>
      <w:r w:rsidRPr="00EB6D39">
        <w:rPr>
          <w:rFonts w:ascii="Times New Roman" w:eastAsiaTheme="minorEastAsia" w:hAnsi="Times New Roman"/>
          <w:color w:val="auto"/>
          <w:sz w:val="24"/>
          <w:szCs w:val="24"/>
          <w:lang w:eastAsia="en-US"/>
        </w:rPr>
        <w:t xml:space="preserve"> </w:t>
      </w:r>
      <w:proofErr w:type="spellStart"/>
      <w:r w:rsidRPr="00EB6D39">
        <w:rPr>
          <w:rFonts w:ascii="Times New Roman" w:eastAsiaTheme="minorEastAsia" w:hAnsi="Times New Roman"/>
          <w:color w:val="auto"/>
          <w:sz w:val="24"/>
          <w:szCs w:val="24"/>
          <w:lang w:eastAsia="en-US"/>
        </w:rPr>
        <w:t>backoch</w:t>
      </w:r>
      <w:proofErr w:type="spellEnd"/>
      <w:r w:rsidRPr="00EB6D39">
        <w:rPr>
          <w:rFonts w:ascii="Times New Roman" w:eastAsiaTheme="minorEastAsia" w:hAnsi="Times New Roman"/>
          <w:color w:val="auto"/>
          <w:sz w:val="24"/>
          <w:szCs w:val="24"/>
          <w:lang w:eastAsia="en-US"/>
        </w:rPr>
        <w:t xml:space="preserve"> za „MEA lieky“ za predchádzajúce roky, ktoré sa stretnú </w:t>
      </w:r>
      <w:r w:rsidR="002E0946" w:rsidRPr="00EB6D39">
        <w:rPr>
          <w:rFonts w:ascii="Times New Roman" w:eastAsiaTheme="minorEastAsia" w:hAnsi="Times New Roman"/>
          <w:color w:val="auto"/>
          <w:sz w:val="24"/>
          <w:szCs w:val="24"/>
          <w:lang w:eastAsia="en-US"/>
        </w:rPr>
        <w:t xml:space="preserve">výdavkovo </w:t>
      </w:r>
      <w:r w:rsidRPr="00EB6D39">
        <w:rPr>
          <w:rFonts w:ascii="Times New Roman" w:eastAsiaTheme="minorEastAsia" w:hAnsi="Times New Roman"/>
          <w:color w:val="auto"/>
          <w:sz w:val="24"/>
          <w:szCs w:val="24"/>
          <w:lang w:eastAsia="en-US"/>
        </w:rPr>
        <w:t>v rozpočtovom roku</w:t>
      </w:r>
      <w:r w:rsidR="002E0946" w:rsidRPr="00EB6D39">
        <w:rPr>
          <w:rFonts w:ascii="Times New Roman" w:eastAsiaTheme="minorEastAsia" w:hAnsi="Times New Roman"/>
          <w:color w:val="auto"/>
          <w:sz w:val="24"/>
          <w:szCs w:val="24"/>
          <w:lang w:eastAsia="en-US"/>
        </w:rPr>
        <w:t xml:space="preserve"> 2025</w:t>
      </w:r>
      <w:r w:rsidRPr="00EB6D39">
        <w:rPr>
          <w:rFonts w:ascii="Times New Roman" w:eastAsiaTheme="minorEastAsia" w:hAnsi="Times New Roman"/>
          <w:color w:val="auto"/>
          <w:sz w:val="24"/>
          <w:szCs w:val="24"/>
          <w:lang w:eastAsia="en-US"/>
        </w:rPr>
        <w:t xml:space="preserve"> sa predpokladá spätná platba vo výške </w:t>
      </w:r>
      <w:r w:rsidR="00663746">
        <w:rPr>
          <w:rFonts w:ascii="Times New Roman" w:eastAsiaTheme="minorEastAsia" w:hAnsi="Times New Roman"/>
          <w:color w:val="auto"/>
          <w:sz w:val="24"/>
          <w:szCs w:val="24"/>
          <w:lang w:eastAsia="en-US"/>
        </w:rPr>
        <w:t>62</w:t>
      </w:r>
      <w:r w:rsidRPr="00EB6D39">
        <w:rPr>
          <w:rFonts w:ascii="Times New Roman" w:eastAsiaTheme="minorEastAsia" w:hAnsi="Times New Roman"/>
          <w:color w:val="auto"/>
          <w:sz w:val="24"/>
          <w:szCs w:val="24"/>
          <w:lang w:eastAsia="en-US"/>
        </w:rPr>
        <w:t xml:space="preserve"> </w:t>
      </w:r>
      <w:r w:rsidR="002E0946" w:rsidRPr="00EB6D39">
        <w:rPr>
          <w:rFonts w:ascii="Times New Roman" w:eastAsiaTheme="minorEastAsia" w:hAnsi="Times New Roman"/>
          <w:color w:val="auto"/>
          <w:sz w:val="24"/>
          <w:szCs w:val="24"/>
          <w:lang w:eastAsia="en-US"/>
        </w:rPr>
        <w:t>mil.</w:t>
      </w:r>
      <w:r w:rsidRPr="00EB6D39">
        <w:rPr>
          <w:rFonts w:ascii="Times New Roman" w:eastAsiaTheme="minorEastAsia" w:hAnsi="Times New Roman"/>
          <w:color w:val="auto"/>
          <w:sz w:val="24"/>
          <w:szCs w:val="24"/>
          <w:lang w:eastAsia="en-US"/>
        </w:rPr>
        <w:t xml:space="preserve"> eur. Vyrovnací rozdiel, ktorý má rozhodnúť MZSR (vydať rozhodnutie o vrátení platieb za prečerpanie limitov inovatívnych liekov podmienene zaradených </w:t>
      </w:r>
      <w:r w:rsidR="00980A7E" w:rsidRPr="00EB6D39">
        <w:rPr>
          <w:rFonts w:ascii="Times New Roman" w:eastAsiaTheme="minorEastAsia" w:hAnsi="Times New Roman"/>
          <w:color w:val="auto"/>
          <w:sz w:val="24"/>
          <w:szCs w:val="24"/>
          <w:lang w:eastAsia="en-US"/>
        </w:rPr>
        <w:t xml:space="preserve">od roku 2018 </w:t>
      </w:r>
      <w:r w:rsidRPr="00EB6D39">
        <w:rPr>
          <w:rFonts w:ascii="Times New Roman" w:eastAsiaTheme="minorEastAsia" w:hAnsi="Times New Roman"/>
          <w:color w:val="auto"/>
          <w:sz w:val="24"/>
          <w:szCs w:val="24"/>
          <w:lang w:eastAsia="en-US"/>
        </w:rPr>
        <w:t>do roku 2022) predpokladá úsporu 8</w:t>
      </w:r>
      <w:r w:rsidR="002E0946" w:rsidRPr="00EB6D39">
        <w:rPr>
          <w:rFonts w:ascii="Times New Roman" w:eastAsiaTheme="minorEastAsia" w:hAnsi="Times New Roman"/>
          <w:color w:val="auto"/>
          <w:sz w:val="24"/>
          <w:szCs w:val="24"/>
          <w:lang w:eastAsia="en-US"/>
        </w:rPr>
        <w:t xml:space="preserve"> mil. </w:t>
      </w:r>
      <w:r w:rsidRPr="00EB6D39">
        <w:rPr>
          <w:rFonts w:ascii="Times New Roman" w:eastAsiaTheme="minorEastAsia" w:hAnsi="Times New Roman"/>
          <w:color w:val="auto"/>
          <w:sz w:val="24"/>
          <w:szCs w:val="24"/>
          <w:lang w:eastAsia="en-US"/>
        </w:rPr>
        <w:t xml:space="preserve">eur. </w:t>
      </w:r>
      <w:r w:rsidR="009F63D9" w:rsidRPr="00EB6D39">
        <w:rPr>
          <w:rFonts w:ascii="Times New Roman" w:eastAsiaTheme="minorEastAsia" w:hAnsi="Times New Roman"/>
          <w:color w:val="auto"/>
          <w:sz w:val="24"/>
          <w:szCs w:val="24"/>
          <w:lang w:eastAsia="en-US"/>
        </w:rPr>
        <w:t xml:space="preserve">Dopady </w:t>
      </w:r>
      <w:r w:rsidR="00EB6D39">
        <w:rPr>
          <w:rFonts w:ascii="Times New Roman" w:eastAsiaTheme="minorEastAsia" w:hAnsi="Times New Roman"/>
          <w:color w:val="auto"/>
          <w:sz w:val="24"/>
          <w:szCs w:val="24"/>
          <w:lang w:eastAsia="en-US"/>
        </w:rPr>
        <w:t xml:space="preserve">revízie a </w:t>
      </w:r>
      <w:proofErr w:type="spellStart"/>
      <w:r w:rsidR="009F63D9" w:rsidRPr="00EB6D39">
        <w:rPr>
          <w:rFonts w:ascii="Times New Roman" w:eastAsiaTheme="minorEastAsia" w:hAnsi="Times New Roman"/>
          <w:color w:val="auto"/>
          <w:sz w:val="24"/>
          <w:szCs w:val="24"/>
          <w:lang w:eastAsia="en-US"/>
        </w:rPr>
        <w:t>referencovania</w:t>
      </w:r>
      <w:proofErr w:type="spellEnd"/>
      <w:r w:rsidRPr="00EB6D39">
        <w:rPr>
          <w:rFonts w:ascii="Times New Roman" w:eastAsiaTheme="minorEastAsia" w:hAnsi="Times New Roman"/>
          <w:color w:val="auto"/>
          <w:sz w:val="24"/>
          <w:szCs w:val="24"/>
          <w:lang w:eastAsia="en-US"/>
        </w:rPr>
        <w:t xml:space="preserve"> liekov</w:t>
      </w:r>
      <w:r w:rsidR="002E0946" w:rsidRPr="00EB6D39">
        <w:rPr>
          <w:rFonts w:ascii="Times New Roman" w:eastAsiaTheme="minorEastAsia" w:hAnsi="Times New Roman"/>
          <w:color w:val="auto"/>
          <w:sz w:val="24"/>
          <w:szCs w:val="24"/>
          <w:lang w:eastAsia="en-US"/>
        </w:rPr>
        <w:t>:</w:t>
      </w:r>
      <w:r w:rsidRPr="00EB6D39">
        <w:rPr>
          <w:rFonts w:ascii="Times New Roman" w:eastAsiaTheme="minorEastAsia" w:hAnsi="Times New Roman"/>
          <w:color w:val="auto"/>
          <w:sz w:val="24"/>
          <w:szCs w:val="24"/>
          <w:lang w:eastAsia="en-US"/>
        </w:rPr>
        <w:t xml:space="preserve"> </w:t>
      </w:r>
    </w:p>
    <w:p w14:paraId="5D069FA8" w14:textId="4F419A0E" w:rsidR="002E0946" w:rsidRPr="00EB6D39" w:rsidRDefault="006032E7" w:rsidP="002E0946">
      <w:pPr>
        <w:pStyle w:val="p1"/>
        <w:numPr>
          <w:ilvl w:val="0"/>
          <w:numId w:val="2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vstup jednoprahový čiže len na úrovni prvého biologicky podobného</w:t>
      </w:r>
      <w:r w:rsidR="002E0946" w:rsidRPr="00EB6D39">
        <w:rPr>
          <w:rFonts w:ascii="Times New Roman" w:eastAsiaTheme="minorEastAsia" w:hAnsi="Times New Roman"/>
          <w:color w:val="auto"/>
          <w:sz w:val="24"/>
          <w:szCs w:val="24"/>
          <w:lang w:eastAsia="en-US"/>
        </w:rPr>
        <w:t xml:space="preserve"> - </w:t>
      </w:r>
      <w:r w:rsidRPr="00EB6D39">
        <w:rPr>
          <w:rFonts w:ascii="Times New Roman" w:eastAsiaTheme="minorEastAsia" w:hAnsi="Times New Roman"/>
          <w:color w:val="auto"/>
          <w:sz w:val="24"/>
          <w:szCs w:val="24"/>
          <w:lang w:eastAsia="en-US"/>
        </w:rPr>
        <w:t xml:space="preserve">zľava z konečnej ceny lieku 25%, </w:t>
      </w:r>
    </w:p>
    <w:p w14:paraId="54DD405E" w14:textId="5B935D9E" w:rsidR="002E0946" w:rsidRPr="00EB6D39" w:rsidRDefault="002E0946" w:rsidP="002E0946">
      <w:pPr>
        <w:pStyle w:val="p1"/>
        <w:numPr>
          <w:ilvl w:val="0"/>
          <w:numId w:val="26"/>
        </w:numPr>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vstup </w:t>
      </w:r>
      <w:r w:rsidR="006032E7" w:rsidRPr="00EB6D39">
        <w:rPr>
          <w:rFonts w:ascii="Times New Roman" w:eastAsiaTheme="minorEastAsia" w:hAnsi="Times New Roman"/>
          <w:color w:val="auto"/>
          <w:sz w:val="24"/>
          <w:szCs w:val="24"/>
          <w:lang w:eastAsia="en-US"/>
        </w:rPr>
        <w:t xml:space="preserve">prvého generického lieku  - zľava z konečnej ceny lieku vo výške 49 %   </w:t>
      </w:r>
    </w:p>
    <w:p w14:paraId="77526134" w14:textId="358D777B" w:rsidR="002E0946" w:rsidRPr="00EB6D39" w:rsidRDefault="002E0946" w:rsidP="002E0946">
      <w:pPr>
        <w:pStyle w:val="p1"/>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Podpora </w:t>
      </w:r>
      <w:r w:rsidR="006032E7" w:rsidRPr="00EB6D39">
        <w:rPr>
          <w:rFonts w:ascii="Times New Roman" w:eastAsiaTheme="minorEastAsia" w:hAnsi="Times New Roman"/>
          <w:color w:val="auto"/>
          <w:sz w:val="24"/>
          <w:szCs w:val="24"/>
          <w:lang w:eastAsia="en-US"/>
        </w:rPr>
        <w:t xml:space="preserve">vstupu </w:t>
      </w:r>
      <w:proofErr w:type="spellStart"/>
      <w:r w:rsidR="006032E7" w:rsidRPr="00EB6D39">
        <w:rPr>
          <w:rFonts w:ascii="Times New Roman" w:eastAsiaTheme="minorEastAsia" w:hAnsi="Times New Roman"/>
          <w:color w:val="auto"/>
          <w:sz w:val="24"/>
          <w:szCs w:val="24"/>
          <w:lang w:eastAsia="en-US"/>
        </w:rPr>
        <w:t>biosimilarov</w:t>
      </w:r>
      <w:proofErr w:type="spellEnd"/>
      <w:r w:rsidR="006032E7" w:rsidRPr="00EB6D39">
        <w:rPr>
          <w:rFonts w:ascii="Times New Roman" w:eastAsiaTheme="minorEastAsia" w:hAnsi="Times New Roman"/>
          <w:color w:val="auto"/>
          <w:sz w:val="24"/>
          <w:szCs w:val="24"/>
          <w:lang w:eastAsia="en-US"/>
        </w:rPr>
        <w:t xml:space="preserve">/ prvých </w:t>
      </w:r>
      <w:proofErr w:type="spellStart"/>
      <w:r w:rsidR="006032E7" w:rsidRPr="00EB6D39">
        <w:rPr>
          <w:rFonts w:ascii="Times New Roman" w:eastAsiaTheme="minorEastAsia" w:hAnsi="Times New Roman"/>
          <w:color w:val="auto"/>
          <w:sz w:val="24"/>
          <w:szCs w:val="24"/>
          <w:lang w:eastAsia="en-US"/>
        </w:rPr>
        <w:t>generík</w:t>
      </w:r>
      <w:proofErr w:type="spellEnd"/>
      <w:r w:rsidR="006032E7" w:rsidRPr="00EB6D39">
        <w:rPr>
          <w:rFonts w:ascii="Times New Roman" w:eastAsiaTheme="minorEastAsia" w:hAnsi="Times New Roman"/>
          <w:color w:val="auto"/>
          <w:sz w:val="24"/>
          <w:szCs w:val="24"/>
          <w:lang w:eastAsia="en-US"/>
        </w:rPr>
        <w:t xml:space="preserve"> predstavuje úsporu vo výške 15 </w:t>
      </w:r>
      <w:r w:rsidRPr="00EB6D39">
        <w:rPr>
          <w:rFonts w:ascii="Times New Roman" w:eastAsiaTheme="minorEastAsia" w:hAnsi="Times New Roman"/>
          <w:color w:val="auto"/>
          <w:sz w:val="24"/>
          <w:szCs w:val="24"/>
          <w:lang w:eastAsia="en-US"/>
        </w:rPr>
        <w:t xml:space="preserve">mil. </w:t>
      </w:r>
      <w:r w:rsidR="006032E7" w:rsidRPr="00EB6D39">
        <w:rPr>
          <w:rFonts w:ascii="Times New Roman" w:eastAsiaTheme="minorEastAsia" w:hAnsi="Times New Roman"/>
          <w:color w:val="auto"/>
          <w:sz w:val="24"/>
          <w:szCs w:val="24"/>
          <w:lang w:eastAsia="en-US"/>
        </w:rPr>
        <w:t xml:space="preserve">eur. </w:t>
      </w:r>
    </w:p>
    <w:bookmarkEnd w:id="4"/>
    <w:p w14:paraId="2EAFBFB3" w14:textId="77777777" w:rsidR="002E0946" w:rsidRPr="00EB6D39" w:rsidRDefault="002E0946" w:rsidP="002E0946">
      <w:pPr>
        <w:pStyle w:val="p1"/>
        <w:jc w:val="both"/>
        <w:rPr>
          <w:rFonts w:ascii="Times New Roman" w:eastAsiaTheme="minorEastAsia" w:hAnsi="Times New Roman"/>
          <w:color w:val="auto"/>
          <w:sz w:val="24"/>
          <w:szCs w:val="24"/>
          <w:lang w:eastAsia="en-US"/>
        </w:rPr>
      </w:pPr>
    </w:p>
    <w:p w14:paraId="3BBD9E8B" w14:textId="64CF8EE7" w:rsidR="006032E7" w:rsidRPr="00EB6D39" w:rsidRDefault="006032E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 xml:space="preserve">Ministerstvo otvorilo konanie z vlastného podnetu mimo štandardnej revízie úhrad, čím nastala </w:t>
      </w:r>
      <w:r w:rsidR="002E0946" w:rsidRPr="00EB6D39">
        <w:rPr>
          <w:rFonts w:ascii="Times New Roman" w:eastAsiaTheme="minorEastAsia" w:hAnsi="Times New Roman"/>
          <w:color w:val="auto"/>
          <w:sz w:val="24"/>
          <w:szCs w:val="24"/>
          <w:lang w:eastAsia="en-US"/>
        </w:rPr>
        <w:t xml:space="preserve">včasnejšia </w:t>
      </w:r>
      <w:r w:rsidRPr="00EB6D39">
        <w:rPr>
          <w:rFonts w:ascii="Times New Roman" w:eastAsiaTheme="minorEastAsia" w:hAnsi="Times New Roman"/>
          <w:color w:val="auto"/>
          <w:sz w:val="24"/>
          <w:szCs w:val="24"/>
          <w:lang w:eastAsia="en-US"/>
        </w:rPr>
        <w:t>vykonateľnosť rozhodnutia</w:t>
      </w:r>
      <w:r w:rsidR="002E0946" w:rsidRPr="00EB6D39">
        <w:rPr>
          <w:rFonts w:ascii="Times New Roman" w:eastAsiaTheme="minorEastAsia" w:hAnsi="Times New Roman"/>
          <w:color w:val="auto"/>
          <w:sz w:val="24"/>
          <w:szCs w:val="24"/>
          <w:lang w:eastAsia="en-US"/>
        </w:rPr>
        <w:t>,</w:t>
      </w:r>
      <w:r w:rsidRPr="00EB6D39">
        <w:rPr>
          <w:rFonts w:ascii="Times New Roman" w:eastAsiaTheme="minorEastAsia" w:hAnsi="Times New Roman"/>
          <w:color w:val="auto"/>
          <w:sz w:val="24"/>
          <w:szCs w:val="24"/>
          <w:lang w:eastAsia="en-US"/>
        </w:rPr>
        <w:t xml:space="preserve"> s cieľom dosiahnuť skoršiu úsporu v</w:t>
      </w:r>
      <w:r w:rsidR="00980A7E" w:rsidRPr="00EB6D39">
        <w:rPr>
          <w:rFonts w:ascii="Times New Roman" w:eastAsiaTheme="minorEastAsia" w:hAnsi="Times New Roman"/>
          <w:color w:val="auto"/>
          <w:sz w:val="24"/>
          <w:szCs w:val="24"/>
          <w:lang w:eastAsia="en-US"/>
        </w:rPr>
        <w:t> </w:t>
      </w:r>
      <w:r w:rsidRPr="00EB6D39">
        <w:rPr>
          <w:rFonts w:ascii="Times New Roman" w:eastAsiaTheme="minorEastAsia" w:hAnsi="Times New Roman"/>
          <w:color w:val="auto"/>
          <w:sz w:val="24"/>
          <w:szCs w:val="24"/>
          <w:lang w:eastAsia="en-US"/>
        </w:rPr>
        <w:t>systéme</w:t>
      </w:r>
      <w:r w:rsidR="00980A7E" w:rsidRPr="00EB6D39">
        <w:rPr>
          <w:rFonts w:ascii="Times New Roman" w:eastAsiaTheme="minorEastAsia" w:hAnsi="Times New Roman"/>
          <w:color w:val="auto"/>
          <w:sz w:val="24"/>
          <w:szCs w:val="24"/>
          <w:lang w:eastAsia="en-US"/>
        </w:rPr>
        <w:t>.</w:t>
      </w:r>
      <w:r w:rsidRPr="00EB6D39">
        <w:rPr>
          <w:rFonts w:ascii="Times New Roman" w:eastAsiaTheme="minorEastAsia" w:hAnsi="Times New Roman"/>
          <w:color w:val="auto"/>
          <w:sz w:val="24"/>
          <w:szCs w:val="24"/>
          <w:lang w:eastAsia="en-US"/>
        </w:rPr>
        <w:t xml:space="preserve"> </w:t>
      </w:r>
      <w:proofErr w:type="spellStart"/>
      <w:r w:rsidRPr="00EB6D39">
        <w:rPr>
          <w:rFonts w:ascii="Times New Roman" w:eastAsiaTheme="minorEastAsia" w:hAnsi="Times New Roman"/>
          <w:color w:val="auto"/>
          <w:sz w:val="24"/>
          <w:szCs w:val="24"/>
          <w:lang w:eastAsia="en-US"/>
        </w:rPr>
        <w:t>Referencovanie</w:t>
      </w:r>
      <w:proofErr w:type="spellEnd"/>
      <w:r w:rsidR="002E0946" w:rsidRPr="00EB6D39">
        <w:rPr>
          <w:rFonts w:ascii="Times New Roman" w:eastAsiaTheme="minorEastAsia" w:hAnsi="Times New Roman"/>
          <w:color w:val="auto"/>
          <w:sz w:val="24"/>
          <w:szCs w:val="24"/>
          <w:lang w:eastAsia="en-US"/>
        </w:rPr>
        <w:t xml:space="preserve"> (</w:t>
      </w:r>
      <w:r w:rsidRPr="00EB6D39">
        <w:rPr>
          <w:rFonts w:ascii="Times New Roman" w:eastAsiaTheme="minorEastAsia" w:hAnsi="Times New Roman"/>
          <w:color w:val="auto"/>
          <w:sz w:val="24"/>
          <w:szCs w:val="24"/>
          <w:lang w:eastAsia="en-US"/>
        </w:rPr>
        <w:t>porovnávanie úradne určených cien liekov</w:t>
      </w:r>
      <w:r w:rsidR="002E0946" w:rsidRPr="00EB6D39">
        <w:rPr>
          <w:rFonts w:ascii="Times New Roman" w:eastAsiaTheme="minorEastAsia" w:hAnsi="Times New Roman"/>
          <w:color w:val="auto"/>
          <w:sz w:val="24"/>
          <w:szCs w:val="24"/>
          <w:lang w:eastAsia="en-US"/>
        </w:rPr>
        <w:t xml:space="preserve">) </w:t>
      </w:r>
      <w:r w:rsidRPr="00EB6D39">
        <w:rPr>
          <w:rFonts w:ascii="Times New Roman" w:eastAsiaTheme="minorEastAsia" w:hAnsi="Times New Roman"/>
          <w:color w:val="auto"/>
          <w:sz w:val="24"/>
          <w:szCs w:val="24"/>
          <w:lang w:eastAsia="en-US"/>
        </w:rPr>
        <w:t xml:space="preserve">sa vykonáva 4 x ročne, pričom </w:t>
      </w:r>
      <w:r w:rsidRPr="00EB6D39">
        <w:rPr>
          <w:rFonts w:ascii="Times New Roman" w:eastAsiaTheme="minorEastAsia" w:hAnsi="Times New Roman"/>
          <w:color w:val="auto"/>
          <w:sz w:val="24"/>
          <w:szCs w:val="24"/>
          <w:lang w:eastAsia="en-US"/>
        </w:rPr>
        <w:lastRenderedPageBreak/>
        <w:t xml:space="preserve">najväčšia úspora je po </w:t>
      </w:r>
      <w:proofErr w:type="spellStart"/>
      <w:r w:rsidRPr="00EB6D39">
        <w:rPr>
          <w:rFonts w:ascii="Times New Roman" w:eastAsiaTheme="minorEastAsia" w:hAnsi="Times New Roman"/>
          <w:color w:val="auto"/>
          <w:sz w:val="24"/>
          <w:szCs w:val="24"/>
          <w:lang w:eastAsia="en-US"/>
        </w:rPr>
        <w:t>referencovaní</w:t>
      </w:r>
      <w:proofErr w:type="spellEnd"/>
      <w:r w:rsidRPr="00EB6D39">
        <w:rPr>
          <w:rFonts w:ascii="Times New Roman" w:eastAsiaTheme="minorEastAsia" w:hAnsi="Times New Roman"/>
          <w:color w:val="auto"/>
          <w:sz w:val="24"/>
          <w:szCs w:val="24"/>
          <w:lang w:eastAsia="en-US"/>
        </w:rPr>
        <w:t xml:space="preserve"> celého zoznamu kategorizovaných liekov vo výške </w:t>
      </w:r>
      <w:r w:rsidR="00980A7E" w:rsidRPr="00EB6D39">
        <w:rPr>
          <w:rFonts w:ascii="Times New Roman" w:eastAsiaTheme="minorEastAsia" w:hAnsi="Times New Roman"/>
          <w:color w:val="auto"/>
          <w:sz w:val="24"/>
          <w:szCs w:val="24"/>
          <w:lang w:eastAsia="en-US"/>
        </w:rPr>
        <w:t>25</w:t>
      </w:r>
      <w:r w:rsidRPr="00EB6D39">
        <w:rPr>
          <w:rFonts w:ascii="Times New Roman" w:eastAsiaTheme="minorEastAsia" w:hAnsi="Times New Roman"/>
          <w:color w:val="auto"/>
          <w:sz w:val="24"/>
          <w:szCs w:val="24"/>
          <w:lang w:eastAsia="en-US"/>
        </w:rPr>
        <w:t xml:space="preserve"> </w:t>
      </w:r>
      <w:r w:rsidR="002E0946" w:rsidRPr="00EB6D39">
        <w:rPr>
          <w:rFonts w:ascii="Times New Roman" w:eastAsiaTheme="minorEastAsia" w:hAnsi="Times New Roman"/>
          <w:color w:val="auto"/>
          <w:sz w:val="24"/>
          <w:szCs w:val="24"/>
          <w:lang w:eastAsia="en-US"/>
        </w:rPr>
        <w:t xml:space="preserve">mil. </w:t>
      </w:r>
      <w:r w:rsidRPr="00EB6D39">
        <w:rPr>
          <w:rFonts w:ascii="Times New Roman" w:eastAsiaTheme="minorEastAsia" w:hAnsi="Times New Roman"/>
          <w:color w:val="auto"/>
          <w:sz w:val="24"/>
          <w:szCs w:val="24"/>
          <w:lang w:eastAsia="en-US"/>
        </w:rPr>
        <w:t xml:space="preserve">eur. </w:t>
      </w:r>
      <w:r w:rsidR="00980A7E" w:rsidRPr="00EB6D39">
        <w:rPr>
          <w:rFonts w:ascii="Times New Roman" w:eastAsiaTheme="minorEastAsia" w:hAnsi="Times New Roman"/>
          <w:color w:val="auto"/>
          <w:sz w:val="24"/>
          <w:szCs w:val="24"/>
          <w:lang w:eastAsia="en-US"/>
        </w:rPr>
        <w:t>Ďalšie potenciálne úspory pri liekoch odhadujeme vo výške 4 mil. eur</w:t>
      </w:r>
      <w:r w:rsidR="002E0946" w:rsidRPr="00EB6D39">
        <w:rPr>
          <w:rFonts w:ascii="Times New Roman" w:eastAsiaTheme="minorEastAsia" w:hAnsi="Times New Roman"/>
          <w:color w:val="auto"/>
          <w:sz w:val="24"/>
          <w:szCs w:val="24"/>
          <w:lang w:eastAsia="en-US"/>
        </w:rPr>
        <w:t>, predovšetkým</w:t>
      </w:r>
      <w:r w:rsidR="00D6028D" w:rsidRPr="00EB6D39">
        <w:rPr>
          <w:rFonts w:ascii="Times New Roman" w:eastAsiaTheme="minorEastAsia" w:hAnsi="Times New Roman"/>
          <w:color w:val="auto"/>
          <w:sz w:val="24"/>
          <w:szCs w:val="24"/>
          <w:lang w:eastAsia="en-US"/>
        </w:rPr>
        <w:t xml:space="preserve"> </w:t>
      </w:r>
      <w:proofErr w:type="spellStart"/>
      <w:r w:rsidR="00D6028D" w:rsidRPr="00EB6D39">
        <w:rPr>
          <w:rFonts w:ascii="Times New Roman" w:eastAsiaTheme="minorEastAsia" w:hAnsi="Times New Roman"/>
          <w:color w:val="auto"/>
          <w:sz w:val="24"/>
          <w:szCs w:val="24"/>
          <w:lang w:eastAsia="en-US"/>
        </w:rPr>
        <w:t>dekategorizáciou</w:t>
      </w:r>
      <w:proofErr w:type="spellEnd"/>
      <w:r w:rsidR="00D6028D" w:rsidRPr="00EB6D39">
        <w:rPr>
          <w:rFonts w:ascii="Times New Roman" w:eastAsiaTheme="minorEastAsia" w:hAnsi="Times New Roman"/>
          <w:color w:val="auto"/>
          <w:sz w:val="24"/>
          <w:szCs w:val="24"/>
          <w:lang w:eastAsia="en-US"/>
        </w:rPr>
        <w:t xml:space="preserve"> liekov</w:t>
      </w:r>
      <w:r w:rsidR="00980A7E" w:rsidRPr="00EB6D39">
        <w:rPr>
          <w:rFonts w:ascii="Times New Roman" w:eastAsiaTheme="minorEastAsia" w:hAnsi="Times New Roman"/>
          <w:color w:val="auto"/>
          <w:sz w:val="24"/>
          <w:szCs w:val="24"/>
          <w:lang w:eastAsia="en-US"/>
        </w:rPr>
        <w:t>.</w:t>
      </w:r>
    </w:p>
    <w:p w14:paraId="747820C5" w14:textId="77777777" w:rsidR="006032E7" w:rsidRPr="00EB6D39" w:rsidRDefault="006032E7" w:rsidP="006032E7">
      <w:pPr>
        <w:pStyle w:val="p1"/>
        <w:jc w:val="both"/>
        <w:rPr>
          <w:rFonts w:ascii="Times New Roman" w:eastAsiaTheme="minorEastAsia" w:hAnsi="Times New Roman"/>
          <w:color w:val="auto"/>
          <w:sz w:val="24"/>
          <w:szCs w:val="24"/>
          <w:lang w:eastAsia="en-US"/>
        </w:rPr>
      </w:pPr>
    </w:p>
    <w:p w14:paraId="3F8E2372" w14:textId="4F6C0152" w:rsidR="006032E7" w:rsidRPr="00EB6D39" w:rsidRDefault="00980A7E" w:rsidP="006032E7">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t xml:space="preserve">Úspory </w:t>
      </w:r>
      <w:r w:rsidR="006032E7" w:rsidRPr="00EB6D39">
        <w:rPr>
          <w:rFonts w:ascii="Times New Roman" w:eastAsiaTheme="minorEastAsia" w:hAnsi="Times New Roman"/>
          <w:b/>
          <w:bCs/>
          <w:color w:val="auto"/>
          <w:sz w:val="24"/>
          <w:szCs w:val="24"/>
          <w:lang w:eastAsia="en-US"/>
        </w:rPr>
        <w:t>v štátnych nemocniciach</w:t>
      </w:r>
      <w:r w:rsidR="006032E7" w:rsidRPr="00EB6D39">
        <w:rPr>
          <w:rFonts w:ascii="Times New Roman" w:eastAsiaTheme="minorEastAsia" w:hAnsi="Times New Roman"/>
          <w:b/>
          <w:bCs/>
          <w:color w:val="auto"/>
          <w:sz w:val="24"/>
          <w:szCs w:val="24"/>
          <w:lang w:eastAsia="en-US"/>
        </w:rPr>
        <w:tab/>
      </w:r>
    </w:p>
    <w:p w14:paraId="5AC6D2F0" w14:textId="63B5FB7D" w:rsidR="006032E7" w:rsidRPr="00EB6D39" w:rsidRDefault="006032E7" w:rsidP="0043689D">
      <w:pPr>
        <w:pStyle w:val="p1"/>
        <w:ind w:firstLine="708"/>
        <w:jc w:val="both"/>
        <w:rPr>
          <w:rFonts w:ascii="Times New Roman" w:eastAsiaTheme="minorEastAsia" w:hAnsi="Times New Roman"/>
          <w:color w:val="auto"/>
          <w:sz w:val="24"/>
          <w:szCs w:val="24"/>
          <w:lang w:eastAsia="en-US"/>
        </w:rPr>
      </w:pPr>
      <w:r w:rsidRPr="00EB6D39">
        <w:rPr>
          <w:rFonts w:ascii="Times New Roman" w:eastAsiaTheme="minorEastAsia" w:hAnsi="Times New Roman"/>
          <w:color w:val="auto"/>
          <w:sz w:val="24"/>
          <w:szCs w:val="24"/>
          <w:lang w:eastAsia="en-US"/>
        </w:rPr>
        <w:t>V súlade s čl. 1.1 a 1.2 Zmluvy o nastolení sociálneho zmieru v zdravotníctve medzi vládou Slovenskej republiky a Lekárskym odborovým združením a o usporiadaní vzájomných vzťahov (ďalej len „zmluva</w:t>
      </w:r>
      <w:r w:rsidR="00651666" w:rsidRPr="00EB6D39">
        <w:rPr>
          <w:rFonts w:ascii="Times New Roman" w:eastAsiaTheme="minorEastAsia" w:hAnsi="Times New Roman"/>
          <w:color w:val="auto"/>
          <w:sz w:val="24"/>
          <w:szCs w:val="24"/>
          <w:lang w:eastAsia="en-US"/>
        </w:rPr>
        <w:t xml:space="preserve"> o nastolení sociálneho zmieru</w:t>
      </w:r>
      <w:r w:rsidRPr="00EB6D39">
        <w:rPr>
          <w:rFonts w:ascii="Times New Roman" w:eastAsiaTheme="minorEastAsia" w:hAnsi="Times New Roman"/>
          <w:color w:val="auto"/>
          <w:sz w:val="24"/>
          <w:szCs w:val="24"/>
          <w:lang w:eastAsia="en-US"/>
        </w:rPr>
        <w:t>“) sa v roku 2025 plánuje vykonať v rámci centralizácie riadenia nemocníc produkčný, prevádzkový a personálny audit štátnych nemocníc. Cieľom tohto auditu má byť zistenie dopytu po zdravotníckych pracovníkoch vo všetkých ústavných zariadeniach zdravotnej starostlivosti. Auditom sa tiež preverí efektivita čiastočných úväzkov, dodržiavanie dohodnutého pracovného času, prevádzkové ukazovatele s cieľom optimalizácie nemedicínskych prevádzkových nákladov, medicínskych procesov a to z pohľadu toku pacienta „do“ a „z“ nemocnice, ako aj obstarávanie liekov, špeciálnych zdravotníckych materiálov a zdravotníckej techniky. Očakáva sa, že v rokoch 2026 až 2028 sa prejaví</w:t>
      </w:r>
      <w:r w:rsidR="002E0946" w:rsidRPr="00EB6D39">
        <w:rPr>
          <w:rFonts w:ascii="Times New Roman" w:eastAsiaTheme="minorEastAsia" w:hAnsi="Times New Roman"/>
          <w:color w:val="auto"/>
          <w:sz w:val="24"/>
          <w:szCs w:val="24"/>
          <w:lang w:eastAsia="en-US"/>
        </w:rPr>
        <w:t xml:space="preserve"> prevádzková a optimalizačná</w:t>
      </w:r>
      <w:r w:rsidRPr="00EB6D39">
        <w:rPr>
          <w:rFonts w:ascii="Times New Roman" w:eastAsiaTheme="minorEastAsia" w:hAnsi="Times New Roman"/>
          <w:color w:val="auto"/>
          <w:sz w:val="24"/>
          <w:szCs w:val="24"/>
          <w:lang w:eastAsia="en-US"/>
        </w:rPr>
        <w:t xml:space="preserve"> úspora z tohto auditu minimálne na úrovni </w:t>
      </w:r>
      <w:r w:rsidR="002E0946" w:rsidRPr="00EB6D39">
        <w:rPr>
          <w:rFonts w:ascii="Times New Roman" w:eastAsiaTheme="minorEastAsia" w:hAnsi="Times New Roman"/>
          <w:color w:val="auto"/>
          <w:sz w:val="24"/>
          <w:szCs w:val="24"/>
          <w:lang w:eastAsia="en-US"/>
        </w:rPr>
        <w:t xml:space="preserve">19,2 mil. eur, pričom ďalšia úspora na úrovni </w:t>
      </w:r>
      <w:r w:rsidRPr="00EB6D39">
        <w:rPr>
          <w:rFonts w:ascii="Times New Roman" w:eastAsiaTheme="minorEastAsia" w:hAnsi="Times New Roman"/>
          <w:color w:val="auto"/>
          <w:sz w:val="24"/>
          <w:szCs w:val="24"/>
          <w:lang w:eastAsia="en-US"/>
        </w:rPr>
        <w:t xml:space="preserve">30 mil. eur ročne, </w:t>
      </w:r>
      <w:r w:rsidR="002E0946" w:rsidRPr="00EB6D39">
        <w:rPr>
          <w:rFonts w:ascii="Times New Roman" w:eastAsiaTheme="minorEastAsia" w:hAnsi="Times New Roman"/>
          <w:color w:val="auto"/>
          <w:sz w:val="24"/>
          <w:szCs w:val="24"/>
          <w:lang w:eastAsia="en-US"/>
        </w:rPr>
        <w:t>sa prejaví v štátnych nemocniciach na základe</w:t>
      </w:r>
      <w:r w:rsidRPr="00EB6D39">
        <w:rPr>
          <w:rFonts w:ascii="Times New Roman" w:eastAsiaTheme="minorEastAsia" w:hAnsi="Times New Roman"/>
          <w:color w:val="auto"/>
          <w:sz w:val="24"/>
          <w:szCs w:val="24"/>
          <w:lang w:eastAsia="en-US"/>
        </w:rPr>
        <w:t xml:space="preserve"> </w:t>
      </w:r>
      <w:proofErr w:type="spellStart"/>
      <w:r w:rsidRPr="00EB6D39">
        <w:rPr>
          <w:rFonts w:ascii="Times New Roman" w:eastAsiaTheme="minorEastAsia" w:hAnsi="Times New Roman"/>
          <w:color w:val="auto"/>
          <w:sz w:val="24"/>
          <w:szCs w:val="24"/>
          <w:lang w:eastAsia="en-US"/>
        </w:rPr>
        <w:t>referencovania</w:t>
      </w:r>
      <w:proofErr w:type="spellEnd"/>
      <w:r w:rsidRPr="00EB6D39">
        <w:rPr>
          <w:rFonts w:ascii="Times New Roman" w:eastAsiaTheme="minorEastAsia" w:hAnsi="Times New Roman"/>
          <w:color w:val="auto"/>
          <w:sz w:val="24"/>
          <w:szCs w:val="24"/>
          <w:lang w:eastAsia="en-US"/>
        </w:rPr>
        <w:t xml:space="preserve"> cien a podmienok nákupu špecializovaného zdravotníckeho materiálu a</w:t>
      </w:r>
      <w:r w:rsidR="00980A7E" w:rsidRPr="00EB6D39">
        <w:rPr>
          <w:rFonts w:ascii="Times New Roman" w:eastAsiaTheme="minorEastAsia" w:hAnsi="Times New Roman"/>
          <w:color w:val="auto"/>
          <w:sz w:val="24"/>
          <w:szCs w:val="24"/>
          <w:lang w:eastAsia="en-US"/>
        </w:rPr>
        <w:t> </w:t>
      </w:r>
      <w:r w:rsidRPr="00EB6D39">
        <w:rPr>
          <w:rFonts w:ascii="Times New Roman" w:eastAsiaTheme="minorEastAsia" w:hAnsi="Times New Roman"/>
          <w:color w:val="auto"/>
          <w:sz w:val="24"/>
          <w:szCs w:val="24"/>
          <w:lang w:eastAsia="en-US"/>
        </w:rPr>
        <w:t>liekov</w:t>
      </w:r>
      <w:r w:rsidR="00980A7E" w:rsidRPr="00EB6D39">
        <w:rPr>
          <w:rFonts w:ascii="Times New Roman" w:eastAsiaTheme="minorEastAsia" w:hAnsi="Times New Roman"/>
          <w:color w:val="auto"/>
          <w:sz w:val="24"/>
          <w:szCs w:val="24"/>
          <w:lang w:eastAsia="en-US"/>
        </w:rPr>
        <w:t xml:space="preserve">. Celkové úspory v nemocniciach sa očakávajú na úrovni </w:t>
      </w:r>
      <w:r w:rsidR="00D6028D" w:rsidRPr="00EB6D39">
        <w:rPr>
          <w:rFonts w:ascii="Times New Roman" w:eastAsiaTheme="minorEastAsia" w:hAnsi="Times New Roman"/>
          <w:color w:val="auto"/>
          <w:sz w:val="24"/>
          <w:szCs w:val="24"/>
          <w:lang w:eastAsia="en-US"/>
        </w:rPr>
        <w:t>66</w:t>
      </w:r>
      <w:r w:rsidR="00980A7E" w:rsidRPr="00EB6D39">
        <w:rPr>
          <w:rFonts w:ascii="Times New Roman" w:eastAsiaTheme="minorEastAsia" w:hAnsi="Times New Roman"/>
          <w:color w:val="auto"/>
          <w:sz w:val="24"/>
          <w:szCs w:val="24"/>
          <w:lang w:eastAsia="en-US"/>
        </w:rPr>
        <w:t xml:space="preserve"> mil. eur</w:t>
      </w:r>
      <w:r w:rsidR="00D6028D" w:rsidRPr="00EB6D39">
        <w:rPr>
          <w:rFonts w:ascii="Times New Roman" w:eastAsiaTheme="minorEastAsia" w:hAnsi="Times New Roman"/>
          <w:color w:val="auto"/>
          <w:sz w:val="24"/>
          <w:szCs w:val="24"/>
          <w:lang w:eastAsia="en-US"/>
        </w:rPr>
        <w:t>, z toho v štátnych nemocniciach sa očakáva úspora cca 60 mil. eur.</w:t>
      </w:r>
    </w:p>
    <w:p w14:paraId="412EB487" w14:textId="77777777" w:rsidR="00905BA3" w:rsidRPr="00EB6D39" w:rsidRDefault="00905BA3" w:rsidP="00905BA3">
      <w:pPr>
        <w:pStyle w:val="p1"/>
        <w:jc w:val="both"/>
        <w:rPr>
          <w:rFonts w:ascii="Times New Roman" w:eastAsiaTheme="minorEastAsia" w:hAnsi="Times New Roman"/>
          <w:color w:val="auto"/>
          <w:sz w:val="24"/>
          <w:szCs w:val="24"/>
          <w:lang w:eastAsia="en-US"/>
        </w:rPr>
      </w:pPr>
    </w:p>
    <w:p w14:paraId="32DD79CF" w14:textId="079F2BB8" w:rsidR="00905BA3" w:rsidRPr="00EB6D39" w:rsidRDefault="00905BA3" w:rsidP="0043689D">
      <w:pPr>
        <w:spacing w:after="0" w:line="240" w:lineRule="auto"/>
        <w:jc w:val="both"/>
        <w:rPr>
          <w:rFonts w:ascii="Arial" w:hAnsi="Arial" w:cs="Arial"/>
          <w:b/>
          <w:bCs/>
        </w:rPr>
      </w:pPr>
      <w:r w:rsidRPr="00EB6D39">
        <w:rPr>
          <w:rFonts w:ascii="Times New Roman" w:eastAsiaTheme="minorEastAsia" w:hAnsi="Times New Roman"/>
          <w:b/>
          <w:bCs/>
          <w:sz w:val="24"/>
          <w:szCs w:val="24"/>
        </w:rPr>
        <w:t>Produkčný, prevádzkový a personálny audit štátnych nemocníc</w:t>
      </w:r>
    </w:p>
    <w:p w14:paraId="236326CF" w14:textId="77777777" w:rsidR="00D6028D" w:rsidRPr="00EB6D39" w:rsidRDefault="00D6028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Ministerstvo zdravotníctva SR zostavilo návrh postupu na vykonanie produkčného, prevádzkového a personálneho auditu štátnych nemocníc, ktorým sa preverí: </w:t>
      </w:r>
    </w:p>
    <w:p w14:paraId="2DD4A5D9"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efektivita čiastočných úväzkov;</w:t>
      </w:r>
    </w:p>
    <w:p w14:paraId="51EB36B8"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dodržiavanie dohodnutého pracovného času; a </w:t>
      </w:r>
    </w:p>
    <w:p w14:paraId="479F1639"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prevádzkové ukazovatele s cieľom optimalizácie nemedicínskych prevádzkových nákladov, medicínskych procesov a to z pohľadu toku pacienta „do“ a „z“ nemocnice, ako aj obstarávanie liekov, špeciálnych zdravotníckych materiálov a zdravotníckej techniky.</w:t>
      </w:r>
    </w:p>
    <w:p w14:paraId="3D245955" w14:textId="77777777" w:rsidR="00D6028D" w:rsidRPr="00EB6D39" w:rsidRDefault="00D6028D" w:rsidP="0043689D">
      <w:pPr>
        <w:spacing w:after="0" w:line="240" w:lineRule="auto"/>
        <w:jc w:val="both"/>
        <w:rPr>
          <w:rFonts w:ascii="Times New Roman" w:hAnsi="Times New Roman" w:cs="Times New Roman"/>
          <w:sz w:val="24"/>
          <w:szCs w:val="24"/>
        </w:rPr>
      </w:pPr>
    </w:p>
    <w:p w14:paraId="3683D670" w14:textId="77777777" w:rsidR="00D6028D" w:rsidRPr="00EB6D39" w:rsidRDefault="00D6028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Na základe preverenia dostupných a časovo prijateľných alternatív postupu pre vykonanie produkčného, prevádzkového a personálneho auditu štátnych nemocníc sa navrhuje postupovať individuálnym spôsobom pri každej nemocnici a v </w:t>
      </w:r>
      <w:proofErr w:type="spellStart"/>
      <w:r w:rsidRPr="00EB6D39">
        <w:rPr>
          <w:rFonts w:ascii="Times New Roman" w:hAnsi="Times New Roman" w:cs="Times New Roman"/>
          <w:sz w:val="24"/>
          <w:szCs w:val="24"/>
        </w:rPr>
        <w:t>priorizácii</w:t>
      </w:r>
      <w:proofErr w:type="spellEnd"/>
      <w:r w:rsidRPr="00EB6D39">
        <w:rPr>
          <w:rFonts w:ascii="Times New Roman" w:hAnsi="Times New Roman" w:cs="Times New Roman"/>
          <w:sz w:val="24"/>
          <w:szCs w:val="24"/>
        </w:rPr>
        <w:t xml:space="preserve"> podľa objemu záväzkov po lehote splatnosti.</w:t>
      </w:r>
    </w:p>
    <w:p w14:paraId="7AC6683E" w14:textId="77777777" w:rsidR="00D6028D" w:rsidRPr="00EB6D39" w:rsidRDefault="00D6028D" w:rsidP="0043689D">
      <w:pPr>
        <w:spacing w:after="0" w:line="240" w:lineRule="auto"/>
        <w:jc w:val="both"/>
        <w:rPr>
          <w:rFonts w:ascii="Times New Roman" w:hAnsi="Times New Roman" w:cs="Times New Roman"/>
          <w:sz w:val="24"/>
          <w:szCs w:val="24"/>
        </w:rPr>
      </w:pPr>
    </w:p>
    <w:p w14:paraId="2899FF65" w14:textId="77777777" w:rsidR="00D6028D" w:rsidRPr="00EB6D39" w:rsidRDefault="00D6028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Vzhľadom na interdisciplinárne zameranie produkčného, prevádzkového a personálneho auditu sa navrhuje, aby odborné poradenské služby reflektovali tieto oblasti činnosti:</w:t>
      </w:r>
    </w:p>
    <w:p w14:paraId="36E79CAF"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konzultácie, analýzy, stanoviská, posudky, metodické materiály;</w:t>
      </w:r>
    </w:p>
    <w:p w14:paraId="6E72BAFD"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poskytovanie asistencie pre podporu a/alebo realizáciu vlastných procesov;</w:t>
      </w:r>
    </w:p>
    <w:p w14:paraId="427C7ECF"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účasť na rokovaniach odborných skupín určených klientom, príp. poradenstvo, účasť, spoluúčasť na rokovaní s tretími osobami a/alebo zastupovanie klienta v rôznych konaniach podľa potreby;</w:t>
      </w:r>
    </w:p>
    <w:p w14:paraId="3D19B1A0"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spolupráca na riadení, koordinácii a vyhodnotení projektov, v oblasti auditu; </w:t>
      </w:r>
    </w:p>
    <w:p w14:paraId="1DC02C95"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metodická, koordinačná činnosť pri spracovávaní rezortných auditov a účasť pri kompletizácii výsledkov auditu a nastavení optimalizovaných riešení;</w:t>
      </w:r>
    </w:p>
    <w:p w14:paraId="707B015B"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výkon produkčného, finančného, prevádzkového a personálneho auditu, identifikácia problémových oblastí, návrh opatrení;</w:t>
      </w:r>
    </w:p>
    <w:p w14:paraId="39EFE6DC"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lastRenderedPageBreak/>
        <w:t>audit a poradenstvo v oblasti analýzy zdvojených činností, identifikácie synergii, identifikácie „neštandardných“ zmlúv a optimalizácie rozsahu nakupovaných služieb a materiálov vrátane návrhu ďalších opatrení;</w:t>
      </w:r>
    </w:p>
    <w:p w14:paraId="437867DA"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poradenstvo a návrh opatrení v oblasti hospodárnosti, a to najmä pri identifikácii kľúčových procesov, podporných procesov a redundantných činností;</w:t>
      </w:r>
    </w:p>
    <w:p w14:paraId="7D34FF8B"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audit efektívnosti a účinnosti, najmú, ale nie výlučne, pre určenie                                       finančno-ekonomických ukazovateľov, stanovenie štandardov „</w:t>
      </w:r>
      <w:proofErr w:type="spellStart"/>
      <w:r w:rsidRPr="00EB6D39">
        <w:rPr>
          <w:rFonts w:ascii="Times New Roman" w:hAnsi="Times New Roman" w:cs="Times New Roman"/>
          <w:sz w:val="24"/>
          <w:szCs w:val="24"/>
        </w:rPr>
        <w:t>best</w:t>
      </w:r>
      <w:proofErr w:type="spellEnd"/>
      <w:r w:rsidRPr="00EB6D39">
        <w:rPr>
          <w:rFonts w:ascii="Times New Roman" w:hAnsi="Times New Roman" w:cs="Times New Roman"/>
          <w:sz w:val="24"/>
          <w:szCs w:val="24"/>
        </w:rPr>
        <w:t xml:space="preserve"> in </w:t>
      </w:r>
      <w:proofErr w:type="spellStart"/>
      <w:r w:rsidRPr="00EB6D39">
        <w:rPr>
          <w:rFonts w:ascii="Times New Roman" w:hAnsi="Times New Roman" w:cs="Times New Roman"/>
          <w:sz w:val="24"/>
          <w:szCs w:val="24"/>
        </w:rPr>
        <w:t>class</w:t>
      </w:r>
      <w:proofErr w:type="spellEnd"/>
      <w:r w:rsidRPr="00EB6D39">
        <w:rPr>
          <w:rFonts w:ascii="Times New Roman" w:hAnsi="Times New Roman" w:cs="Times New Roman"/>
          <w:sz w:val="24"/>
          <w:szCs w:val="24"/>
        </w:rPr>
        <w:t xml:space="preserve">“, analýzu jednotkových nákladov na výkon, interný/externý </w:t>
      </w:r>
      <w:proofErr w:type="spellStart"/>
      <w:r w:rsidRPr="00EB6D39">
        <w:rPr>
          <w:rFonts w:ascii="Times New Roman" w:hAnsi="Times New Roman" w:cs="Times New Roman"/>
          <w:sz w:val="24"/>
          <w:szCs w:val="24"/>
        </w:rPr>
        <w:t>benchmark</w:t>
      </w:r>
      <w:proofErr w:type="spellEnd"/>
      <w:r w:rsidRPr="00EB6D39">
        <w:rPr>
          <w:rFonts w:ascii="Times New Roman" w:hAnsi="Times New Roman" w:cs="Times New Roman"/>
          <w:sz w:val="24"/>
          <w:szCs w:val="24"/>
        </w:rPr>
        <w:t xml:space="preserve"> a analýzu časových radov vrátane návrhu opatrení,</w:t>
      </w:r>
    </w:p>
    <w:p w14:paraId="753C602B"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identifikácia nepoužívaného/nepotrebného/nadbytočného majetku, posúdenie reálnej hodnoty majetku;</w:t>
      </w:r>
    </w:p>
    <w:p w14:paraId="28424862"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analýza energetickej a ekonomickej hospodárnosti majetku;</w:t>
      </w:r>
    </w:p>
    <w:p w14:paraId="11DFADB3"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personálny audit a optimalizácia ľudských zdrojov;</w:t>
      </w:r>
    </w:p>
    <w:p w14:paraId="4D175430"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previerka IT a komunikačnej infraštruktúry;</w:t>
      </w:r>
    </w:p>
    <w:p w14:paraId="13059D11"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tvorba merateľných ukazovateľov a kritérií vo vzťahu k hodnoteniu výkonnosti a kvality procesov;</w:t>
      </w:r>
    </w:p>
    <w:p w14:paraId="596750AB"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analýza procesov výkonu kompetencií a pôsobností rezortu MZ SR a podporných procesov, najmä v rozsahu ekonomika a účtovníctvo, ľudské zdroje, informačné technológie, materiálovo-technické zabezpečenie, správa majetku, verejné obstarávanie, doprava a iné;</w:t>
      </w:r>
    </w:p>
    <w:p w14:paraId="6B8E9280"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príprava ekonomického vyhodnotenia navrhovaných opatrení a príprava  implementačných plánov;</w:t>
      </w:r>
    </w:p>
    <w:p w14:paraId="5797254B"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analýza systémov interného účtovníctva, nákladových modelov a návrhy na ich zlepšenie, spresnenie, príp. odporúčanie a návrh postupov podľa „</w:t>
      </w:r>
      <w:proofErr w:type="spellStart"/>
      <w:r w:rsidRPr="00EB6D39">
        <w:rPr>
          <w:rFonts w:ascii="Times New Roman" w:hAnsi="Times New Roman" w:cs="Times New Roman"/>
          <w:sz w:val="24"/>
          <w:szCs w:val="24"/>
        </w:rPr>
        <w:t>best</w:t>
      </w:r>
      <w:proofErr w:type="spellEnd"/>
      <w:r w:rsidRPr="00EB6D39">
        <w:rPr>
          <w:rFonts w:ascii="Times New Roman" w:hAnsi="Times New Roman" w:cs="Times New Roman"/>
          <w:sz w:val="24"/>
          <w:szCs w:val="24"/>
        </w:rPr>
        <w:t xml:space="preserve"> </w:t>
      </w:r>
      <w:proofErr w:type="spellStart"/>
      <w:r w:rsidRPr="00EB6D39">
        <w:rPr>
          <w:rFonts w:ascii="Times New Roman" w:hAnsi="Times New Roman" w:cs="Times New Roman"/>
          <w:sz w:val="24"/>
          <w:szCs w:val="24"/>
        </w:rPr>
        <w:t>practices</w:t>
      </w:r>
      <w:proofErr w:type="spellEnd"/>
      <w:r w:rsidRPr="00EB6D39">
        <w:rPr>
          <w:rFonts w:ascii="Times New Roman" w:hAnsi="Times New Roman" w:cs="Times New Roman"/>
          <w:sz w:val="24"/>
          <w:szCs w:val="24"/>
        </w:rPr>
        <w:t xml:space="preserve">“ a medzinárodných </w:t>
      </w:r>
      <w:proofErr w:type="spellStart"/>
      <w:r w:rsidRPr="00EB6D39">
        <w:rPr>
          <w:rFonts w:ascii="Times New Roman" w:hAnsi="Times New Roman" w:cs="Times New Roman"/>
          <w:sz w:val="24"/>
          <w:szCs w:val="24"/>
        </w:rPr>
        <w:t>benchmarkov</w:t>
      </w:r>
      <w:proofErr w:type="spellEnd"/>
      <w:r w:rsidRPr="00EB6D39">
        <w:rPr>
          <w:rFonts w:ascii="Times New Roman" w:hAnsi="Times New Roman" w:cs="Times New Roman"/>
          <w:sz w:val="24"/>
          <w:szCs w:val="24"/>
        </w:rPr>
        <w:t>;</w:t>
      </w:r>
    </w:p>
    <w:p w14:paraId="5C7EA48E"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poskytovanie poradenstva pri implementácii nových procesov a systémov;</w:t>
      </w:r>
    </w:p>
    <w:p w14:paraId="017BD486"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príprava správy o právnych aspektoch hospodárenia nemocníc; a</w:t>
      </w:r>
    </w:p>
    <w:p w14:paraId="0694D29A"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vypracovanie štúdií uskutočniteľnosti pri realizácii projektov pod gesciou Ministerstva zdravotníctva SR.</w:t>
      </w:r>
    </w:p>
    <w:p w14:paraId="7B6A934A" w14:textId="77777777" w:rsidR="00157439" w:rsidRPr="00EB6D39" w:rsidRDefault="00157439" w:rsidP="0043689D">
      <w:pPr>
        <w:spacing w:after="0" w:line="240" w:lineRule="auto"/>
        <w:ind w:firstLine="708"/>
        <w:jc w:val="both"/>
        <w:rPr>
          <w:rFonts w:ascii="Times New Roman" w:hAnsi="Times New Roman" w:cs="Times New Roman"/>
          <w:b/>
          <w:bCs/>
          <w:sz w:val="24"/>
          <w:szCs w:val="24"/>
        </w:rPr>
      </w:pPr>
    </w:p>
    <w:p w14:paraId="00E1FE61" w14:textId="432B9E74" w:rsidR="00D6028D" w:rsidRPr="00EB6D39" w:rsidRDefault="00D6028D" w:rsidP="0043689D">
      <w:pPr>
        <w:spacing w:after="0" w:line="240" w:lineRule="auto"/>
        <w:ind w:firstLine="708"/>
        <w:jc w:val="both"/>
        <w:rPr>
          <w:rFonts w:ascii="Times New Roman" w:hAnsi="Times New Roman" w:cs="Times New Roman"/>
          <w:b/>
          <w:bCs/>
          <w:sz w:val="24"/>
          <w:szCs w:val="24"/>
        </w:rPr>
      </w:pPr>
      <w:r w:rsidRPr="00EB6D39">
        <w:rPr>
          <w:rFonts w:ascii="Times New Roman" w:hAnsi="Times New Roman" w:cs="Times New Roman"/>
          <w:b/>
          <w:bCs/>
          <w:sz w:val="24"/>
          <w:szCs w:val="24"/>
        </w:rPr>
        <w:t>Z hľadiska časového harmonogramu spustenia produkčného, prevádzkového a personálneho auditu Ministerstvo zdravotníctva SR:</w:t>
      </w:r>
    </w:p>
    <w:p w14:paraId="78E877FA"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sfinalizovalo prípravu súťažných podkladov pre obstaranie dodávateľa odborných poradenských služieb;</w:t>
      </w:r>
    </w:p>
    <w:p w14:paraId="094FB2AF"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spustí proces verejného obstarávania pre výber dodávateľa odborných poradenských služieb v prvej polovici apríla 2025;</w:t>
      </w:r>
    </w:p>
    <w:p w14:paraId="5186945A"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vyhodnotí predložené ponuky, uzavrie zmluvný vzťah s úspešným uchádzačom a spustí proces auditu prvej nemocnice najneskôr do 30.5.2025.</w:t>
      </w:r>
    </w:p>
    <w:p w14:paraId="32F6240D" w14:textId="77777777" w:rsidR="00D6028D" w:rsidRPr="00EB6D39" w:rsidRDefault="00D6028D" w:rsidP="0043689D">
      <w:pPr>
        <w:spacing w:after="0" w:line="240" w:lineRule="auto"/>
        <w:jc w:val="both"/>
        <w:rPr>
          <w:rFonts w:ascii="Times New Roman" w:hAnsi="Times New Roman" w:cs="Times New Roman"/>
          <w:sz w:val="24"/>
          <w:szCs w:val="24"/>
        </w:rPr>
      </w:pPr>
    </w:p>
    <w:p w14:paraId="27D1DB05" w14:textId="77777777" w:rsidR="00D6028D" w:rsidRPr="00EB6D39" w:rsidRDefault="00D6028D" w:rsidP="0043689D">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Produkčný, prevádzkový a personálny audit je však len nevyhnutnou nadstavbou existujúcich procesov optimalizácie nákladovej štruktúry nemocníc. Ministerstvo zdravotníctva SR už dnes aplikuje </w:t>
      </w:r>
      <w:r w:rsidRPr="00EB6D39">
        <w:rPr>
          <w:rFonts w:ascii="Times New Roman" w:hAnsi="Times New Roman" w:cs="Times New Roman"/>
          <w:b/>
          <w:bCs/>
          <w:sz w:val="24"/>
          <w:szCs w:val="24"/>
        </w:rPr>
        <w:t xml:space="preserve">komplexný systém </w:t>
      </w:r>
      <w:proofErr w:type="spellStart"/>
      <w:r w:rsidRPr="00EB6D39">
        <w:rPr>
          <w:rFonts w:ascii="Times New Roman" w:hAnsi="Times New Roman" w:cs="Times New Roman"/>
          <w:b/>
          <w:bCs/>
          <w:sz w:val="24"/>
          <w:szCs w:val="24"/>
        </w:rPr>
        <w:t>kontrolingových</w:t>
      </w:r>
      <w:proofErr w:type="spellEnd"/>
      <w:r w:rsidRPr="00EB6D39">
        <w:rPr>
          <w:rFonts w:ascii="Times New Roman" w:hAnsi="Times New Roman" w:cs="Times New Roman"/>
          <w:b/>
          <w:bCs/>
          <w:sz w:val="24"/>
          <w:szCs w:val="24"/>
        </w:rPr>
        <w:t xml:space="preserve"> nástrojov</w:t>
      </w:r>
      <w:r w:rsidRPr="00EB6D39">
        <w:rPr>
          <w:rFonts w:ascii="Times New Roman" w:hAnsi="Times New Roman" w:cs="Times New Roman"/>
          <w:sz w:val="24"/>
          <w:szCs w:val="24"/>
        </w:rPr>
        <w:t>, ktoré sú súčasťou centrálneho riadenia nemocníc vo svojej pôsobnosti, a ktoré zahŕňajú:</w:t>
      </w:r>
    </w:p>
    <w:p w14:paraId="38CC0F8E" w14:textId="07653708"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ustanovenie povinnosti pre nemocnice vypracúvať strategické plány, ktoré podliehajú schváleniu zo strany Ministerstva zdravotníctva SR, a ktorých účelom je určiť ekonomické, personálne a medicínske ukazovatele usmerňovania centrálne riadenej štátnej nemocnice;</w:t>
      </w:r>
    </w:p>
    <w:p w14:paraId="077D9208"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vydávanie usmernení Ministerstva zdravotníctva SR pre centrálne riadené štátne nemocnice v oblasti strategického plánovania investícií a rozvoja, v oblasti finančného </w:t>
      </w:r>
      <w:r w:rsidRPr="00EB6D39">
        <w:rPr>
          <w:rFonts w:ascii="Times New Roman" w:hAnsi="Times New Roman" w:cs="Times New Roman"/>
          <w:sz w:val="24"/>
          <w:szCs w:val="24"/>
        </w:rPr>
        <w:lastRenderedPageBreak/>
        <w:t>plánovania, v oblasti optimalizácie a štandardizácie riadiacich procesov a podporných procesov a v oblasti plnenia ekonomických, personálnych a medicínskych ukazovateľov;</w:t>
      </w:r>
    </w:p>
    <w:p w14:paraId="7757EF68"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zber aktuálnych dát z centrálne riadených štátnych nemocníc, ktorými sa sleduje efektivita napĺňania strategických plánov a vydaných usmernení; a</w:t>
      </w:r>
    </w:p>
    <w:p w14:paraId="038852F5" w14:textId="77777777" w:rsidR="00D6028D" w:rsidRPr="00EB6D39" w:rsidRDefault="00D6028D" w:rsidP="0043689D">
      <w:pPr>
        <w:pStyle w:val="Odsekzoznamu"/>
        <w:numPr>
          <w:ilvl w:val="0"/>
          <w:numId w:val="23"/>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uplatňovanie sankčného mechanizmu v prípade neplnenia povinností centrálne riadenej štátnej nemocnice, a to vo väzbe na odmeňovanie manažérov centrálne riadených štátnych nemocníc (súbor záväzných manažérskych cieľov), ako aj vo väzbe na samotné príjmy centrálne riadených štátnych nemocníc (zaviazanie časti platieb z verejného zdravotného poistenia na plnenie finančných ukazovateľov strategických plánov centrálne riadených štátnych nemocníc).</w:t>
      </w:r>
    </w:p>
    <w:p w14:paraId="320B867A" w14:textId="77777777" w:rsidR="000E5BA2" w:rsidRPr="00EB6D39" w:rsidRDefault="000E5BA2" w:rsidP="002E5CA3">
      <w:pPr>
        <w:pStyle w:val="p1"/>
        <w:jc w:val="both"/>
        <w:rPr>
          <w:rFonts w:ascii="Times New Roman" w:eastAsiaTheme="minorEastAsia" w:hAnsi="Times New Roman"/>
          <w:color w:val="auto"/>
          <w:sz w:val="24"/>
          <w:szCs w:val="24"/>
          <w:lang w:eastAsia="en-US"/>
        </w:rPr>
      </w:pPr>
    </w:p>
    <w:p w14:paraId="0F990E8D" w14:textId="77777777" w:rsidR="001B1FF8" w:rsidRPr="00EB6D39" w:rsidRDefault="001B1FF8" w:rsidP="002E5CA3">
      <w:pPr>
        <w:pStyle w:val="p1"/>
        <w:jc w:val="both"/>
        <w:rPr>
          <w:rFonts w:ascii="Times New Roman" w:eastAsiaTheme="minorEastAsia" w:hAnsi="Times New Roman"/>
          <w:b/>
          <w:bCs/>
          <w:color w:val="auto"/>
          <w:sz w:val="22"/>
          <w:szCs w:val="22"/>
          <w:lang w:eastAsia="en-US"/>
        </w:rPr>
      </w:pPr>
    </w:p>
    <w:p w14:paraId="1B20A269" w14:textId="636E8642" w:rsidR="001B1FF8" w:rsidRPr="00EB6D39" w:rsidRDefault="001B1FF8" w:rsidP="002E5CA3">
      <w:pPr>
        <w:pStyle w:val="p1"/>
        <w:jc w:val="both"/>
        <w:rPr>
          <w:rFonts w:ascii="Times New Roman" w:eastAsiaTheme="minorEastAsia" w:hAnsi="Times New Roman"/>
          <w:color w:val="auto"/>
          <w:sz w:val="24"/>
          <w:szCs w:val="24"/>
          <w:lang w:eastAsia="en-US"/>
        </w:rPr>
        <w:sectPr w:rsidR="001B1FF8" w:rsidRPr="00EB6D39">
          <w:pgSz w:w="11906" w:h="16838"/>
          <w:pgMar w:top="1417" w:right="1417" w:bottom="1417" w:left="1417" w:header="708" w:footer="708" w:gutter="0"/>
          <w:cols w:space="708"/>
          <w:docGrid w:linePitch="360"/>
        </w:sectPr>
      </w:pPr>
    </w:p>
    <w:p w14:paraId="7BFEE86E" w14:textId="77777777" w:rsidR="009F63D9" w:rsidRPr="00EB6D39" w:rsidRDefault="009F63D9" w:rsidP="009F63D9">
      <w:pPr>
        <w:pStyle w:val="p1"/>
        <w:jc w:val="both"/>
        <w:rPr>
          <w:rFonts w:ascii="Times New Roman" w:eastAsiaTheme="minorEastAsia" w:hAnsi="Times New Roman"/>
          <w:b/>
          <w:bCs/>
          <w:color w:val="auto"/>
          <w:sz w:val="24"/>
          <w:szCs w:val="24"/>
          <w:lang w:eastAsia="en-US"/>
        </w:rPr>
      </w:pPr>
      <w:r w:rsidRPr="00EB6D39">
        <w:rPr>
          <w:rFonts w:ascii="Times New Roman" w:eastAsiaTheme="minorEastAsia" w:hAnsi="Times New Roman"/>
          <w:b/>
          <w:bCs/>
          <w:color w:val="auto"/>
          <w:sz w:val="24"/>
          <w:szCs w:val="24"/>
          <w:lang w:eastAsia="en-US"/>
        </w:rPr>
        <w:lastRenderedPageBreak/>
        <w:t>Alternatíva postupu dopočtu súm pre jednotlivé typy zdravotnej starostlivosti</w:t>
      </w:r>
    </w:p>
    <w:p w14:paraId="4DA10B84" w14:textId="77777777" w:rsidR="009F63D9" w:rsidRPr="00EB6D39" w:rsidRDefault="009F63D9" w:rsidP="0043689D">
      <w:pPr>
        <w:pStyle w:val="p1"/>
        <w:ind w:right="-30"/>
        <w:jc w:val="both"/>
        <w:rPr>
          <w:rFonts w:ascii="Times New Roman" w:eastAsiaTheme="minorEastAsia" w:hAnsi="Times New Roman"/>
          <w:b/>
          <w:bCs/>
          <w:color w:val="auto"/>
          <w:sz w:val="22"/>
          <w:szCs w:val="22"/>
          <w:lang w:eastAsia="en-US"/>
        </w:rPr>
      </w:pPr>
    </w:p>
    <w:p w14:paraId="2228E503" w14:textId="20EACF4B" w:rsidR="00965B9D" w:rsidRPr="00EB6D39" w:rsidRDefault="004E3C40" w:rsidP="0043689D">
      <w:pPr>
        <w:pStyle w:val="p1"/>
        <w:ind w:right="-30"/>
        <w:jc w:val="both"/>
        <w:rPr>
          <w:rFonts w:ascii="Times New Roman" w:eastAsiaTheme="minorEastAsia" w:hAnsi="Times New Roman"/>
          <w:b/>
          <w:bCs/>
          <w:color w:val="auto"/>
          <w:sz w:val="22"/>
          <w:szCs w:val="22"/>
          <w:lang w:eastAsia="en-US"/>
        </w:rPr>
      </w:pPr>
      <w:r w:rsidRPr="00EB6D39">
        <w:rPr>
          <w:rFonts w:ascii="Times New Roman" w:eastAsiaTheme="minorEastAsia" w:hAnsi="Times New Roman"/>
          <w:b/>
          <w:bCs/>
          <w:color w:val="auto"/>
          <w:sz w:val="22"/>
          <w:szCs w:val="22"/>
          <w:lang w:eastAsia="en-US"/>
        </w:rPr>
        <w:t xml:space="preserve">Tabuľka </w:t>
      </w:r>
      <w:r w:rsidR="003F6971">
        <w:rPr>
          <w:rFonts w:ascii="Times New Roman" w:eastAsiaTheme="minorEastAsia" w:hAnsi="Times New Roman"/>
          <w:b/>
          <w:bCs/>
          <w:color w:val="auto"/>
          <w:sz w:val="22"/>
          <w:szCs w:val="22"/>
          <w:lang w:eastAsia="en-US"/>
        </w:rPr>
        <w:t>9</w:t>
      </w:r>
      <w:r w:rsidRPr="00EB6D39">
        <w:rPr>
          <w:rFonts w:ascii="Times New Roman" w:eastAsiaTheme="minorEastAsia" w:hAnsi="Times New Roman"/>
          <w:b/>
          <w:bCs/>
          <w:color w:val="auto"/>
          <w:sz w:val="22"/>
          <w:szCs w:val="22"/>
          <w:lang w:eastAsia="en-US"/>
        </w:rPr>
        <w:t xml:space="preserve">: </w:t>
      </w:r>
      <w:r w:rsidR="00F7377A" w:rsidRPr="00EB6D39">
        <w:rPr>
          <w:rFonts w:ascii="Times New Roman" w:eastAsiaTheme="minorEastAsia" w:hAnsi="Times New Roman"/>
          <w:b/>
          <w:bCs/>
          <w:color w:val="auto"/>
          <w:sz w:val="22"/>
          <w:szCs w:val="22"/>
          <w:lang w:eastAsia="en-US"/>
        </w:rPr>
        <w:t>Alternatíva postupu dopočtu súm pre jednotlivé typy zdravotnej starostlivosti</w:t>
      </w:r>
    </w:p>
    <w:tbl>
      <w:tblPr>
        <w:tblW w:w="15389" w:type="dxa"/>
        <w:tblInd w:w="-719" w:type="dxa"/>
        <w:tblLayout w:type="fixed"/>
        <w:tblCellMar>
          <w:left w:w="70" w:type="dxa"/>
          <w:right w:w="70" w:type="dxa"/>
        </w:tblCellMar>
        <w:tblLook w:val="04A0" w:firstRow="1" w:lastRow="0" w:firstColumn="1" w:lastColumn="0" w:noHBand="0" w:noVBand="1"/>
      </w:tblPr>
      <w:tblGrid>
        <w:gridCol w:w="2836"/>
        <w:gridCol w:w="1134"/>
        <w:gridCol w:w="992"/>
        <w:gridCol w:w="992"/>
        <w:gridCol w:w="992"/>
        <w:gridCol w:w="993"/>
        <w:gridCol w:w="1225"/>
        <w:gridCol w:w="765"/>
        <w:gridCol w:w="1071"/>
        <w:gridCol w:w="1146"/>
        <w:gridCol w:w="1225"/>
        <w:gridCol w:w="947"/>
        <w:gridCol w:w="1071"/>
      </w:tblGrid>
      <w:tr w:rsidR="00EB6D39" w:rsidRPr="00EB6D39" w14:paraId="5F227810" w14:textId="77777777" w:rsidTr="00B808B1">
        <w:trPr>
          <w:trHeight w:val="1843"/>
        </w:trPr>
        <w:tc>
          <w:tcPr>
            <w:tcW w:w="283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5BAB4E97" w14:textId="77777777" w:rsidR="00927008" w:rsidRPr="00EB6D39" w:rsidRDefault="00927008" w:rsidP="00927008">
            <w:pPr>
              <w:spacing w:after="0" w:line="240" w:lineRule="auto"/>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 xml:space="preserve">Typy zdravotnej starostlivosti </w:t>
            </w:r>
          </w:p>
        </w:tc>
        <w:tc>
          <w:tcPr>
            <w:tcW w:w="1134" w:type="dxa"/>
            <w:tcBorders>
              <w:top w:val="single" w:sz="8" w:space="0" w:color="auto"/>
              <w:left w:val="single" w:sz="4" w:space="0" w:color="auto"/>
              <w:bottom w:val="single" w:sz="4" w:space="0" w:color="auto"/>
              <w:right w:val="single" w:sz="4" w:space="0" w:color="auto"/>
            </w:tcBorders>
            <w:shd w:val="clear" w:color="auto" w:fill="auto"/>
            <w:vAlign w:val="bottom"/>
            <w:hideMark/>
          </w:tcPr>
          <w:p w14:paraId="55F2D57D"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Báza roku 2024 korigovaná</w:t>
            </w:r>
          </w:p>
        </w:tc>
        <w:tc>
          <w:tcPr>
            <w:tcW w:w="992" w:type="dxa"/>
            <w:tcBorders>
              <w:top w:val="single" w:sz="8" w:space="0" w:color="auto"/>
              <w:left w:val="nil"/>
              <w:bottom w:val="single" w:sz="4" w:space="0" w:color="auto"/>
              <w:right w:val="single" w:sz="4" w:space="0" w:color="auto"/>
            </w:tcBorders>
            <w:shd w:val="clear" w:color="auto" w:fill="auto"/>
            <w:vAlign w:val="bottom"/>
            <w:hideMark/>
          </w:tcPr>
          <w:p w14:paraId="5FF5060F"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Chorobnosť - Lieky a zdrav. pomôcky uznané MFSR</w:t>
            </w:r>
          </w:p>
        </w:tc>
        <w:tc>
          <w:tcPr>
            <w:tcW w:w="992" w:type="dxa"/>
            <w:tcBorders>
              <w:top w:val="single" w:sz="8" w:space="0" w:color="auto"/>
              <w:left w:val="nil"/>
              <w:bottom w:val="single" w:sz="4" w:space="0" w:color="auto"/>
              <w:right w:val="single" w:sz="4" w:space="0" w:color="auto"/>
            </w:tcBorders>
            <w:shd w:val="clear" w:color="auto" w:fill="auto"/>
            <w:vAlign w:val="bottom"/>
            <w:hideMark/>
          </w:tcPr>
          <w:p w14:paraId="55F64BA2"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Starnutie</w:t>
            </w:r>
          </w:p>
        </w:tc>
        <w:tc>
          <w:tcPr>
            <w:tcW w:w="992" w:type="dxa"/>
            <w:tcBorders>
              <w:top w:val="single" w:sz="8" w:space="0" w:color="auto"/>
              <w:left w:val="nil"/>
              <w:bottom w:val="single" w:sz="4" w:space="0" w:color="auto"/>
              <w:right w:val="single" w:sz="4" w:space="0" w:color="auto"/>
            </w:tcBorders>
            <w:shd w:val="clear" w:color="auto" w:fill="auto"/>
            <w:vAlign w:val="bottom"/>
            <w:hideMark/>
          </w:tcPr>
          <w:p w14:paraId="64C06C0D"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Celkové mzdy</w:t>
            </w:r>
          </w:p>
        </w:tc>
        <w:tc>
          <w:tcPr>
            <w:tcW w:w="993" w:type="dxa"/>
            <w:tcBorders>
              <w:top w:val="single" w:sz="8" w:space="0" w:color="auto"/>
              <w:left w:val="nil"/>
              <w:bottom w:val="single" w:sz="4" w:space="0" w:color="auto"/>
              <w:right w:val="nil"/>
            </w:tcBorders>
            <w:shd w:val="clear" w:color="auto" w:fill="auto"/>
            <w:vAlign w:val="bottom"/>
            <w:hideMark/>
          </w:tcPr>
          <w:p w14:paraId="44FE25A2"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Zmeny politík</w:t>
            </w:r>
          </w:p>
        </w:tc>
        <w:tc>
          <w:tcPr>
            <w:tcW w:w="1225" w:type="dxa"/>
            <w:tcBorders>
              <w:top w:val="single" w:sz="8" w:space="0" w:color="auto"/>
              <w:left w:val="single" w:sz="8" w:space="0" w:color="auto"/>
              <w:bottom w:val="single" w:sz="4" w:space="0" w:color="auto"/>
              <w:right w:val="single" w:sz="8" w:space="0" w:color="auto"/>
            </w:tcBorders>
            <w:shd w:val="clear" w:color="auto" w:fill="auto"/>
            <w:vAlign w:val="bottom"/>
            <w:hideMark/>
          </w:tcPr>
          <w:p w14:paraId="64F69BCE"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Báza 2024 + chorobnosť + starnutie + celkové mzdy + zmeny politík</w:t>
            </w:r>
          </w:p>
        </w:tc>
        <w:tc>
          <w:tcPr>
            <w:tcW w:w="765" w:type="dxa"/>
            <w:tcBorders>
              <w:top w:val="single" w:sz="8" w:space="0" w:color="auto"/>
              <w:left w:val="nil"/>
              <w:bottom w:val="single" w:sz="4" w:space="0" w:color="auto"/>
              <w:right w:val="single" w:sz="8" w:space="0" w:color="auto"/>
            </w:tcBorders>
            <w:shd w:val="clear" w:color="auto" w:fill="auto"/>
            <w:vAlign w:val="bottom"/>
            <w:hideMark/>
          </w:tcPr>
          <w:p w14:paraId="63C41383" w14:textId="6C5C9134"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 xml:space="preserve">nárasty </w:t>
            </w:r>
            <w:r w:rsidR="00905BA3" w:rsidRPr="00EB6D39">
              <w:rPr>
                <w:rFonts w:ascii="Times New Roman" w:eastAsia="Times New Roman" w:hAnsi="Times New Roman" w:cs="Times New Roman"/>
                <w:b/>
                <w:bCs/>
                <w:kern w:val="0"/>
                <w:sz w:val="16"/>
                <w:szCs w:val="16"/>
                <w:lang w:eastAsia="sk-SK"/>
                <w14:ligatures w14:val="none"/>
              </w:rPr>
              <w:t>%</w:t>
            </w:r>
          </w:p>
        </w:tc>
        <w:tc>
          <w:tcPr>
            <w:tcW w:w="1071" w:type="dxa"/>
            <w:tcBorders>
              <w:top w:val="single" w:sz="8" w:space="0" w:color="auto"/>
              <w:left w:val="nil"/>
              <w:bottom w:val="single" w:sz="4" w:space="0" w:color="auto"/>
              <w:right w:val="single" w:sz="8" w:space="0" w:color="auto"/>
            </w:tcBorders>
            <w:shd w:val="clear" w:color="auto" w:fill="auto"/>
            <w:vAlign w:val="bottom"/>
            <w:hideMark/>
          </w:tcPr>
          <w:p w14:paraId="742D7515"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nárast v eurách</w:t>
            </w:r>
          </w:p>
        </w:tc>
        <w:tc>
          <w:tcPr>
            <w:tcW w:w="1146" w:type="dxa"/>
            <w:tcBorders>
              <w:top w:val="single" w:sz="8" w:space="0" w:color="auto"/>
              <w:left w:val="single" w:sz="4" w:space="0" w:color="auto"/>
              <w:bottom w:val="single" w:sz="4" w:space="0" w:color="auto"/>
              <w:right w:val="nil"/>
            </w:tcBorders>
            <w:shd w:val="clear" w:color="auto" w:fill="auto"/>
            <w:vAlign w:val="bottom"/>
            <w:hideMark/>
          </w:tcPr>
          <w:p w14:paraId="0EF1A76F"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 xml:space="preserve">Úsporné opatrenia </w:t>
            </w:r>
          </w:p>
        </w:tc>
        <w:tc>
          <w:tcPr>
            <w:tcW w:w="1225" w:type="dxa"/>
            <w:tcBorders>
              <w:top w:val="single" w:sz="8" w:space="0" w:color="auto"/>
              <w:left w:val="single" w:sz="8" w:space="0" w:color="auto"/>
              <w:bottom w:val="single" w:sz="4" w:space="0" w:color="auto"/>
              <w:right w:val="single" w:sz="8" w:space="0" w:color="auto"/>
            </w:tcBorders>
            <w:shd w:val="clear" w:color="auto" w:fill="auto"/>
            <w:vAlign w:val="bottom"/>
            <w:hideMark/>
          </w:tcPr>
          <w:p w14:paraId="67B10A17"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Báza 2024 +  chorobnosť + starnutie + celkové mzdy + úsporné opatrenia + zmeny politík</w:t>
            </w:r>
          </w:p>
        </w:tc>
        <w:tc>
          <w:tcPr>
            <w:tcW w:w="947" w:type="dxa"/>
            <w:tcBorders>
              <w:top w:val="single" w:sz="8" w:space="0" w:color="auto"/>
              <w:left w:val="nil"/>
              <w:bottom w:val="single" w:sz="4" w:space="0" w:color="auto"/>
              <w:right w:val="single" w:sz="4" w:space="0" w:color="auto"/>
            </w:tcBorders>
            <w:shd w:val="clear" w:color="auto" w:fill="auto"/>
            <w:vAlign w:val="bottom"/>
            <w:hideMark/>
          </w:tcPr>
          <w:p w14:paraId="0DDCFA1D" w14:textId="363B6450" w:rsidR="00927008" w:rsidRPr="00EB6D39" w:rsidRDefault="00927008" w:rsidP="0043689D">
            <w:pPr>
              <w:spacing w:after="0" w:line="240" w:lineRule="auto"/>
              <w:ind w:right="-99"/>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 xml:space="preserve">nárasty </w:t>
            </w:r>
            <w:r w:rsidR="00905BA3" w:rsidRPr="00EB6D39">
              <w:rPr>
                <w:rFonts w:ascii="Times New Roman" w:eastAsia="Times New Roman" w:hAnsi="Times New Roman" w:cs="Times New Roman"/>
                <w:b/>
                <w:bCs/>
                <w:kern w:val="0"/>
                <w:sz w:val="16"/>
                <w:szCs w:val="16"/>
                <w:lang w:eastAsia="sk-SK"/>
                <w14:ligatures w14:val="none"/>
              </w:rPr>
              <w:t>%</w:t>
            </w:r>
          </w:p>
        </w:tc>
        <w:tc>
          <w:tcPr>
            <w:tcW w:w="1071" w:type="dxa"/>
            <w:tcBorders>
              <w:top w:val="single" w:sz="8" w:space="0" w:color="auto"/>
              <w:left w:val="nil"/>
              <w:bottom w:val="single" w:sz="4" w:space="0" w:color="auto"/>
              <w:right w:val="single" w:sz="8" w:space="0" w:color="auto"/>
            </w:tcBorders>
            <w:shd w:val="clear" w:color="auto" w:fill="auto"/>
            <w:vAlign w:val="bottom"/>
            <w:hideMark/>
          </w:tcPr>
          <w:p w14:paraId="7173D145" w14:textId="77777777" w:rsidR="00927008" w:rsidRPr="00EB6D39" w:rsidRDefault="00927008" w:rsidP="00927008">
            <w:pPr>
              <w:spacing w:after="0" w:line="240" w:lineRule="auto"/>
              <w:jc w:val="center"/>
              <w:rPr>
                <w:rFonts w:ascii="Times New Roman" w:eastAsia="Times New Roman" w:hAnsi="Times New Roman" w:cs="Times New Roman"/>
                <w:b/>
                <w:bCs/>
                <w:kern w:val="0"/>
                <w:sz w:val="16"/>
                <w:szCs w:val="16"/>
                <w:lang w:eastAsia="sk-SK"/>
                <w14:ligatures w14:val="none"/>
              </w:rPr>
            </w:pPr>
            <w:r w:rsidRPr="00EB6D39">
              <w:rPr>
                <w:rFonts w:ascii="Times New Roman" w:eastAsia="Times New Roman" w:hAnsi="Times New Roman" w:cs="Times New Roman"/>
                <w:b/>
                <w:bCs/>
                <w:kern w:val="0"/>
                <w:sz w:val="16"/>
                <w:szCs w:val="16"/>
                <w:lang w:eastAsia="sk-SK"/>
                <w14:ligatures w14:val="none"/>
              </w:rPr>
              <w:t>nárast v eurách</w:t>
            </w:r>
          </w:p>
        </w:tc>
      </w:tr>
      <w:tr w:rsidR="00B808B1" w:rsidRPr="00EB6D39" w14:paraId="25E0AEB7" w14:textId="77777777" w:rsidTr="00B808B1">
        <w:trPr>
          <w:trHeight w:val="292"/>
        </w:trPr>
        <w:tc>
          <w:tcPr>
            <w:tcW w:w="2836"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D30C2D0" w14:textId="77777777" w:rsidR="00B808B1" w:rsidRPr="00EB6D39" w:rsidRDefault="00B808B1" w:rsidP="00B808B1">
            <w:pPr>
              <w:spacing w:after="0" w:line="240" w:lineRule="auto"/>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Zdravotná starostlivosť</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AEA732" w14:textId="43399216"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7 896 713 364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150D680" w14:textId="0B71DC78"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55 000 000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5419BDC" w14:textId="34BB7F4C"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70 000 000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105099B" w14:textId="1DC3922E"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388 991 590</w:t>
            </w:r>
          </w:p>
        </w:tc>
        <w:tc>
          <w:tcPr>
            <w:tcW w:w="993" w:type="dxa"/>
            <w:tcBorders>
              <w:top w:val="single" w:sz="4" w:space="0" w:color="auto"/>
              <w:left w:val="nil"/>
              <w:bottom w:val="single" w:sz="4" w:space="0" w:color="auto"/>
              <w:right w:val="nil"/>
            </w:tcBorders>
            <w:shd w:val="clear" w:color="auto" w:fill="auto"/>
            <w:noWrap/>
            <w:vAlign w:val="center"/>
            <w:hideMark/>
          </w:tcPr>
          <w:p w14:paraId="094E38FD" w14:textId="0BF3FC44"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176 951 932</w:t>
            </w:r>
          </w:p>
        </w:tc>
        <w:tc>
          <w:tcPr>
            <w:tcW w:w="1225"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8ECF7FE" w14:textId="5E247A0A"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8 587 656 886</w:t>
            </w:r>
          </w:p>
        </w:tc>
        <w:tc>
          <w:tcPr>
            <w:tcW w:w="765" w:type="dxa"/>
            <w:tcBorders>
              <w:top w:val="single" w:sz="4" w:space="0" w:color="auto"/>
              <w:left w:val="nil"/>
              <w:bottom w:val="single" w:sz="4" w:space="0" w:color="auto"/>
              <w:right w:val="single" w:sz="8" w:space="0" w:color="auto"/>
            </w:tcBorders>
            <w:shd w:val="clear" w:color="auto" w:fill="auto"/>
            <w:noWrap/>
            <w:vAlign w:val="center"/>
            <w:hideMark/>
          </w:tcPr>
          <w:p w14:paraId="55F28C24" w14:textId="7112BDAD"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8,75%</w:t>
            </w:r>
          </w:p>
        </w:tc>
        <w:tc>
          <w:tcPr>
            <w:tcW w:w="1071" w:type="dxa"/>
            <w:tcBorders>
              <w:top w:val="single" w:sz="4" w:space="0" w:color="auto"/>
              <w:left w:val="nil"/>
              <w:bottom w:val="single" w:sz="4" w:space="0" w:color="auto"/>
              <w:right w:val="single" w:sz="8" w:space="0" w:color="auto"/>
            </w:tcBorders>
            <w:shd w:val="clear" w:color="auto" w:fill="auto"/>
            <w:noWrap/>
            <w:vAlign w:val="center"/>
            <w:hideMark/>
          </w:tcPr>
          <w:p w14:paraId="54F72E4E" w14:textId="5D3EDDE3"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690 943 522</w:t>
            </w:r>
          </w:p>
        </w:tc>
        <w:tc>
          <w:tcPr>
            <w:tcW w:w="1146" w:type="dxa"/>
            <w:tcBorders>
              <w:top w:val="single" w:sz="4" w:space="0" w:color="auto"/>
              <w:left w:val="single" w:sz="4" w:space="0" w:color="auto"/>
              <w:bottom w:val="single" w:sz="4" w:space="0" w:color="auto"/>
              <w:right w:val="nil"/>
            </w:tcBorders>
            <w:shd w:val="clear" w:color="auto" w:fill="auto"/>
            <w:noWrap/>
            <w:vAlign w:val="center"/>
            <w:hideMark/>
          </w:tcPr>
          <w:p w14:paraId="29B8419A" w14:textId="724730A0"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-283 827 013</w:t>
            </w:r>
          </w:p>
        </w:tc>
        <w:tc>
          <w:tcPr>
            <w:tcW w:w="1225"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CB96D91" w14:textId="0CF32A86"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8 303 829 873</w:t>
            </w:r>
          </w:p>
        </w:tc>
        <w:tc>
          <w:tcPr>
            <w:tcW w:w="947" w:type="dxa"/>
            <w:tcBorders>
              <w:top w:val="single" w:sz="4" w:space="0" w:color="auto"/>
              <w:left w:val="nil"/>
              <w:bottom w:val="single" w:sz="4" w:space="0" w:color="auto"/>
              <w:right w:val="single" w:sz="4" w:space="0" w:color="auto"/>
            </w:tcBorders>
            <w:shd w:val="clear" w:color="auto" w:fill="auto"/>
            <w:noWrap/>
            <w:vAlign w:val="center"/>
            <w:hideMark/>
          </w:tcPr>
          <w:p w14:paraId="10AD0522" w14:textId="5CCFB8B9"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5,16%</w:t>
            </w:r>
          </w:p>
        </w:tc>
        <w:tc>
          <w:tcPr>
            <w:tcW w:w="1071"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58AA9855" w14:textId="054D6655" w:rsidR="00B808B1" w:rsidRPr="00B808B1" w:rsidRDefault="00B808B1" w:rsidP="00B808B1">
            <w:pPr>
              <w:spacing w:after="0" w:line="240" w:lineRule="auto"/>
              <w:jc w:val="right"/>
              <w:rPr>
                <w:rFonts w:ascii="Times New Roman" w:eastAsia="Times New Roman" w:hAnsi="Times New Roman" w:cs="Times New Roman"/>
                <w:b/>
                <w:bCs/>
                <w:kern w:val="0"/>
                <w:sz w:val="16"/>
                <w:szCs w:val="16"/>
                <w:lang w:eastAsia="sk-SK"/>
                <w14:ligatures w14:val="none"/>
              </w:rPr>
            </w:pPr>
            <w:r w:rsidRPr="00B808B1">
              <w:rPr>
                <w:rFonts w:ascii="Times New Roman" w:hAnsi="Times New Roman" w:cs="Times New Roman"/>
                <w:b/>
                <w:bCs/>
                <w:sz w:val="16"/>
                <w:szCs w:val="16"/>
              </w:rPr>
              <w:t>407 116 509</w:t>
            </w:r>
          </w:p>
        </w:tc>
      </w:tr>
      <w:tr w:rsidR="00B808B1" w:rsidRPr="00EB6D39" w14:paraId="615DB2FA"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373D61E3"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Lieky a dietetické potraviny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8E11F93" w14:textId="1F73389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1 649 713 188</w:t>
            </w:r>
          </w:p>
        </w:tc>
        <w:tc>
          <w:tcPr>
            <w:tcW w:w="992" w:type="dxa"/>
            <w:tcBorders>
              <w:top w:val="nil"/>
              <w:left w:val="nil"/>
              <w:bottom w:val="single" w:sz="4" w:space="0" w:color="auto"/>
              <w:right w:val="single" w:sz="4" w:space="0" w:color="auto"/>
            </w:tcBorders>
            <w:shd w:val="clear" w:color="auto" w:fill="auto"/>
            <w:noWrap/>
            <w:vAlign w:val="center"/>
            <w:hideMark/>
          </w:tcPr>
          <w:p w14:paraId="7F8529A2" w14:textId="5AD26C8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55 000 000</w:t>
            </w:r>
          </w:p>
        </w:tc>
        <w:tc>
          <w:tcPr>
            <w:tcW w:w="992" w:type="dxa"/>
            <w:tcBorders>
              <w:top w:val="nil"/>
              <w:left w:val="nil"/>
              <w:bottom w:val="single" w:sz="4" w:space="0" w:color="auto"/>
              <w:right w:val="single" w:sz="4" w:space="0" w:color="auto"/>
            </w:tcBorders>
            <w:shd w:val="clear" w:color="auto" w:fill="auto"/>
            <w:noWrap/>
            <w:vAlign w:val="center"/>
            <w:hideMark/>
          </w:tcPr>
          <w:p w14:paraId="329B26E3" w14:textId="2C6E63D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14 542 500</w:t>
            </w:r>
          </w:p>
        </w:tc>
        <w:tc>
          <w:tcPr>
            <w:tcW w:w="992" w:type="dxa"/>
            <w:tcBorders>
              <w:top w:val="nil"/>
              <w:left w:val="nil"/>
              <w:bottom w:val="single" w:sz="4" w:space="0" w:color="auto"/>
              <w:right w:val="single" w:sz="4" w:space="0" w:color="auto"/>
            </w:tcBorders>
            <w:shd w:val="clear" w:color="auto" w:fill="auto"/>
            <w:noWrap/>
            <w:vAlign w:val="center"/>
            <w:hideMark/>
          </w:tcPr>
          <w:p w14:paraId="052F8FD6" w14:textId="0BCA96A3" w:rsidR="00B808B1" w:rsidRPr="00B808B1" w:rsidRDefault="00B808B1" w:rsidP="00B808B1">
            <w:pPr>
              <w:spacing w:after="0" w:line="240" w:lineRule="auto"/>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3" w:type="dxa"/>
            <w:tcBorders>
              <w:top w:val="nil"/>
              <w:left w:val="nil"/>
              <w:bottom w:val="single" w:sz="4" w:space="0" w:color="auto"/>
              <w:right w:val="nil"/>
            </w:tcBorders>
            <w:shd w:val="clear" w:color="auto" w:fill="auto"/>
            <w:noWrap/>
            <w:vAlign w:val="center"/>
            <w:hideMark/>
          </w:tcPr>
          <w:p w14:paraId="0CADAF28" w14:textId="38A48D4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126 457 500</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7E253DA9" w14:textId="2989E71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1 845 713 188</w:t>
            </w:r>
          </w:p>
        </w:tc>
        <w:tc>
          <w:tcPr>
            <w:tcW w:w="765" w:type="dxa"/>
            <w:tcBorders>
              <w:top w:val="nil"/>
              <w:left w:val="nil"/>
              <w:bottom w:val="single" w:sz="4" w:space="0" w:color="auto"/>
              <w:right w:val="single" w:sz="8" w:space="0" w:color="auto"/>
            </w:tcBorders>
            <w:shd w:val="clear" w:color="auto" w:fill="auto"/>
            <w:noWrap/>
            <w:vAlign w:val="center"/>
            <w:hideMark/>
          </w:tcPr>
          <w:p w14:paraId="75BB7C12" w14:textId="1987E20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11,88%</w:t>
            </w:r>
          </w:p>
        </w:tc>
        <w:tc>
          <w:tcPr>
            <w:tcW w:w="1071" w:type="dxa"/>
            <w:tcBorders>
              <w:top w:val="nil"/>
              <w:left w:val="nil"/>
              <w:bottom w:val="single" w:sz="4" w:space="0" w:color="auto"/>
              <w:right w:val="single" w:sz="8" w:space="0" w:color="auto"/>
            </w:tcBorders>
            <w:shd w:val="clear" w:color="auto" w:fill="auto"/>
            <w:noWrap/>
            <w:vAlign w:val="center"/>
            <w:hideMark/>
          </w:tcPr>
          <w:p w14:paraId="3493AC29" w14:textId="54D736E9"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196 000 000</w:t>
            </w:r>
          </w:p>
        </w:tc>
        <w:tc>
          <w:tcPr>
            <w:tcW w:w="1146" w:type="dxa"/>
            <w:tcBorders>
              <w:top w:val="nil"/>
              <w:left w:val="single" w:sz="4" w:space="0" w:color="auto"/>
              <w:bottom w:val="single" w:sz="4" w:space="0" w:color="auto"/>
              <w:right w:val="nil"/>
            </w:tcBorders>
            <w:shd w:val="clear" w:color="auto" w:fill="auto"/>
            <w:noWrap/>
            <w:vAlign w:val="center"/>
            <w:hideMark/>
          </w:tcPr>
          <w:p w14:paraId="204070D8" w14:textId="5F4E9F5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-190 717 676</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6335E10A" w14:textId="5F26DC5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1 654 995 512</w:t>
            </w:r>
          </w:p>
        </w:tc>
        <w:tc>
          <w:tcPr>
            <w:tcW w:w="947" w:type="dxa"/>
            <w:tcBorders>
              <w:top w:val="nil"/>
              <w:left w:val="nil"/>
              <w:bottom w:val="single" w:sz="4" w:space="0" w:color="auto"/>
              <w:right w:val="single" w:sz="4" w:space="0" w:color="auto"/>
            </w:tcBorders>
            <w:shd w:val="clear" w:color="auto" w:fill="auto"/>
            <w:noWrap/>
            <w:vAlign w:val="center"/>
            <w:hideMark/>
          </w:tcPr>
          <w:p w14:paraId="25071CEB" w14:textId="4F1B9FA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0,32%</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1CED2682" w14:textId="4932CBB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5 282 324</w:t>
            </w:r>
          </w:p>
        </w:tc>
      </w:tr>
      <w:tr w:rsidR="00B808B1" w:rsidRPr="00EB6D39" w14:paraId="22E89D66"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663D2566"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Zdravotnícke pomôcky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2D0B037" w14:textId="037FDDA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301 493 895</w:t>
            </w:r>
          </w:p>
        </w:tc>
        <w:tc>
          <w:tcPr>
            <w:tcW w:w="992" w:type="dxa"/>
            <w:tcBorders>
              <w:top w:val="nil"/>
              <w:left w:val="nil"/>
              <w:bottom w:val="single" w:sz="4" w:space="0" w:color="auto"/>
              <w:right w:val="single" w:sz="4" w:space="0" w:color="auto"/>
            </w:tcBorders>
            <w:shd w:val="clear" w:color="auto" w:fill="auto"/>
            <w:noWrap/>
            <w:vAlign w:val="center"/>
            <w:hideMark/>
          </w:tcPr>
          <w:p w14:paraId="2B0518FB" w14:textId="6FF7978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7D9C1758" w14:textId="44D91D7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3 304 000</w:t>
            </w:r>
          </w:p>
        </w:tc>
        <w:tc>
          <w:tcPr>
            <w:tcW w:w="992" w:type="dxa"/>
            <w:tcBorders>
              <w:top w:val="nil"/>
              <w:left w:val="nil"/>
              <w:bottom w:val="single" w:sz="4" w:space="0" w:color="auto"/>
              <w:right w:val="single" w:sz="4" w:space="0" w:color="auto"/>
            </w:tcBorders>
            <w:shd w:val="clear" w:color="auto" w:fill="auto"/>
            <w:noWrap/>
            <w:vAlign w:val="center"/>
            <w:hideMark/>
          </w:tcPr>
          <w:p w14:paraId="683873B7" w14:textId="734883D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3" w:type="dxa"/>
            <w:tcBorders>
              <w:top w:val="nil"/>
              <w:left w:val="nil"/>
              <w:bottom w:val="single" w:sz="4" w:space="0" w:color="auto"/>
              <w:right w:val="nil"/>
            </w:tcBorders>
            <w:shd w:val="clear" w:color="auto" w:fill="auto"/>
            <w:noWrap/>
            <w:vAlign w:val="center"/>
            <w:hideMark/>
          </w:tcPr>
          <w:p w14:paraId="58BC3149" w14:textId="2699BF4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15 000 000</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46BB9662" w14:textId="184CECD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319 797 895</w:t>
            </w:r>
          </w:p>
        </w:tc>
        <w:tc>
          <w:tcPr>
            <w:tcW w:w="765" w:type="dxa"/>
            <w:tcBorders>
              <w:top w:val="nil"/>
              <w:left w:val="nil"/>
              <w:bottom w:val="single" w:sz="4" w:space="0" w:color="auto"/>
              <w:right w:val="single" w:sz="8" w:space="0" w:color="auto"/>
            </w:tcBorders>
            <w:shd w:val="clear" w:color="auto" w:fill="auto"/>
            <w:noWrap/>
            <w:vAlign w:val="center"/>
            <w:hideMark/>
          </w:tcPr>
          <w:p w14:paraId="258517C7" w14:textId="7545A06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6,07%</w:t>
            </w:r>
          </w:p>
        </w:tc>
        <w:tc>
          <w:tcPr>
            <w:tcW w:w="1071" w:type="dxa"/>
            <w:tcBorders>
              <w:top w:val="nil"/>
              <w:left w:val="nil"/>
              <w:bottom w:val="single" w:sz="4" w:space="0" w:color="auto"/>
              <w:right w:val="single" w:sz="8" w:space="0" w:color="auto"/>
            </w:tcBorders>
            <w:shd w:val="clear" w:color="auto" w:fill="auto"/>
            <w:noWrap/>
            <w:vAlign w:val="center"/>
            <w:hideMark/>
          </w:tcPr>
          <w:p w14:paraId="7DEDEF87" w14:textId="1889D70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18 304 000</w:t>
            </w:r>
          </w:p>
        </w:tc>
        <w:tc>
          <w:tcPr>
            <w:tcW w:w="1146" w:type="dxa"/>
            <w:tcBorders>
              <w:top w:val="nil"/>
              <w:left w:val="single" w:sz="4" w:space="0" w:color="auto"/>
              <w:bottom w:val="single" w:sz="4" w:space="0" w:color="auto"/>
              <w:right w:val="nil"/>
            </w:tcBorders>
            <w:shd w:val="clear" w:color="auto" w:fill="auto"/>
            <w:noWrap/>
            <w:vAlign w:val="center"/>
            <w:hideMark/>
          </w:tcPr>
          <w:p w14:paraId="2C0AFDC3" w14:textId="7E6F5AE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-10 000 000</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3CB5F516" w14:textId="57C1628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309 797 895</w:t>
            </w:r>
          </w:p>
        </w:tc>
        <w:tc>
          <w:tcPr>
            <w:tcW w:w="947" w:type="dxa"/>
            <w:tcBorders>
              <w:top w:val="nil"/>
              <w:left w:val="nil"/>
              <w:bottom w:val="single" w:sz="4" w:space="0" w:color="auto"/>
              <w:right w:val="single" w:sz="4" w:space="0" w:color="auto"/>
            </w:tcBorders>
            <w:shd w:val="clear" w:color="auto" w:fill="auto"/>
            <w:noWrap/>
            <w:vAlign w:val="center"/>
            <w:hideMark/>
          </w:tcPr>
          <w:p w14:paraId="2B881F44" w14:textId="504305A9"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2,75%</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2024381D" w14:textId="5BA1C499"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8 304 000</w:t>
            </w:r>
          </w:p>
        </w:tc>
      </w:tr>
      <w:tr w:rsidR="00B808B1" w:rsidRPr="00EB6D39" w14:paraId="1424592F"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3E9FC148"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xml:space="preserve">Ústavná zdravotná starostlivosť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11C6BD54" w14:textId="65906B0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2 767 126 181</w:t>
            </w:r>
          </w:p>
        </w:tc>
        <w:tc>
          <w:tcPr>
            <w:tcW w:w="992" w:type="dxa"/>
            <w:tcBorders>
              <w:top w:val="nil"/>
              <w:left w:val="nil"/>
              <w:bottom w:val="single" w:sz="4" w:space="0" w:color="auto"/>
              <w:right w:val="single" w:sz="4" w:space="0" w:color="auto"/>
            </w:tcBorders>
            <w:shd w:val="clear" w:color="auto" w:fill="auto"/>
            <w:noWrap/>
            <w:vAlign w:val="center"/>
            <w:hideMark/>
          </w:tcPr>
          <w:p w14:paraId="1059EEA6" w14:textId="5092CE7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65251372" w14:textId="0B3E643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27 001 415</w:t>
            </w:r>
          </w:p>
        </w:tc>
        <w:tc>
          <w:tcPr>
            <w:tcW w:w="992" w:type="dxa"/>
            <w:tcBorders>
              <w:top w:val="nil"/>
              <w:left w:val="nil"/>
              <w:bottom w:val="single" w:sz="4" w:space="0" w:color="auto"/>
              <w:right w:val="single" w:sz="4" w:space="0" w:color="auto"/>
            </w:tcBorders>
            <w:shd w:val="clear" w:color="auto" w:fill="auto"/>
            <w:noWrap/>
            <w:vAlign w:val="center"/>
            <w:hideMark/>
          </w:tcPr>
          <w:p w14:paraId="5A67DEA5" w14:textId="7645F48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244 063 443</w:t>
            </w:r>
          </w:p>
        </w:tc>
        <w:tc>
          <w:tcPr>
            <w:tcW w:w="993" w:type="dxa"/>
            <w:tcBorders>
              <w:top w:val="nil"/>
              <w:left w:val="nil"/>
              <w:bottom w:val="single" w:sz="4" w:space="0" w:color="auto"/>
              <w:right w:val="nil"/>
            </w:tcBorders>
            <w:shd w:val="clear" w:color="auto" w:fill="auto"/>
            <w:noWrap/>
            <w:vAlign w:val="center"/>
            <w:hideMark/>
          </w:tcPr>
          <w:p w14:paraId="5DD53ECD" w14:textId="1226DEA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8 119 364</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8D716A9" w14:textId="0320CC7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3 046 310 403</w:t>
            </w:r>
          </w:p>
        </w:tc>
        <w:tc>
          <w:tcPr>
            <w:tcW w:w="765" w:type="dxa"/>
            <w:tcBorders>
              <w:top w:val="nil"/>
              <w:left w:val="nil"/>
              <w:bottom w:val="single" w:sz="4" w:space="0" w:color="auto"/>
              <w:right w:val="single" w:sz="8" w:space="0" w:color="auto"/>
            </w:tcBorders>
            <w:shd w:val="clear" w:color="auto" w:fill="auto"/>
            <w:noWrap/>
            <w:vAlign w:val="center"/>
            <w:hideMark/>
          </w:tcPr>
          <w:p w14:paraId="4E8D4994" w14:textId="6C6151E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10,09%</w:t>
            </w:r>
          </w:p>
        </w:tc>
        <w:tc>
          <w:tcPr>
            <w:tcW w:w="1071" w:type="dxa"/>
            <w:tcBorders>
              <w:top w:val="nil"/>
              <w:left w:val="nil"/>
              <w:bottom w:val="single" w:sz="4" w:space="0" w:color="auto"/>
              <w:right w:val="single" w:sz="8" w:space="0" w:color="auto"/>
            </w:tcBorders>
            <w:shd w:val="clear" w:color="auto" w:fill="auto"/>
            <w:noWrap/>
            <w:vAlign w:val="center"/>
            <w:hideMark/>
          </w:tcPr>
          <w:p w14:paraId="1D4C9A18" w14:textId="06D22CE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279 184 222</w:t>
            </w:r>
          </w:p>
        </w:tc>
        <w:tc>
          <w:tcPr>
            <w:tcW w:w="1146" w:type="dxa"/>
            <w:tcBorders>
              <w:top w:val="nil"/>
              <w:left w:val="single" w:sz="4" w:space="0" w:color="auto"/>
              <w:bottom w:val="single" w:sz="4" w:space="0" w:color="auto"/>
              <w:right w:val="nil"/>
            </w:tcBorders>
            <w:shd w:val="clear" w:color="auto" w:fill="auto"/>
            <w:noWrap/>
            <w:vAlign w:val="center"/>
            <w:hideMark/>
          </w:tcPr>
          <w:p w14:paraId="1EC050B4" w14:textId="33F92CD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-66 009 337</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2E4D5E4" w14:textId="35CDA90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2 980 301 066</w:t>
            </w:r>
          </w:p>
        </w:tc>
        <w:tc>
          <w:tcPr>
            <w:tcW w:w="947" w:type="dxa"/>
            <w:tcBorders>
              <w:top w:val="nil"/>
              <w:left w:val="nil"/>
              <w:bottom w:val="single" w:sz="4" w:space="0" w:color="auto"/>
              <w:right w:val="single" w:sz="4" w:space="0" w:color="auto"/>
            </w:tcBorders>
            <w:shd w:val="clear" w:color="auto" w:fill="auto"/>
            <w:noWrap/>
            <w:vAlign w:val="center"/>
            <w:hideMark/>
          </w:tcPr>
          <w:p w14:paraId="2FEE7720" w14:textId="03BC7F3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7,70%</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6A5CE4A8" w14:textId="79E087C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213 174 885</w:t>
            </w:r>
          </w:p>
        </w:tc>
      </w:tr>
      <w:tr w:rsidR="00B808B1" w:rsidRPr="00EB6D39" w14:paraId="116578C6" w14:textId="77777777" w:rsidTr="00B808B1">
        <w:trPr>
          <w:trHeight w:val="1843"/>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1A3F0EB3" w14:textId="77777777" w:rsidR="00B808B1" w:rsidRPr="00EB6D39" w:rsidRDefault="00B808B1" w:rsidP="00B808B1">
            <w:pPr>
              <w:spacing w:after="0" w:line="240" w:lineRule="auto"/>
              <w:rPr>
                <w:rFonts w:ascii="Times New Roman" w:eastAsia="Times New Roman" w:hAnsi="Times New Roman" w:cs="Times New Roman"/>
                <w:sz w:val="18"/>
                <w:szCs w:val="18"/>
                <w:lang w:eastAsia="sk-SK"/>
              </w:rPr>
            </w:pPr>
            <w:r w:rsidRPr="00EB6D39">
              <w:rPr>
                <w:rFonts w:ascii="Times New Roman" w:hAnsi="Times New Roman" w:cs="Times New Roman"/>
                <w:sz w:val="18"/>
                <w:szCs w:val="18"/>
                <w:lang w:eastAsia="sk-SK"/>
              </w:rPr>
              <w:t>Nad rozsah riadku „Ústavná zdravotná starostlivosť“, Ú</w:t>
            </w:r>
            <w:r w:rsidRPr="00EB6D39">
              <w:rPr>
                <w:rFonts w:ascii="Times New Roman" w:eastAsia="Times New Roman" w:hAnsi="Times New Roman" w:cs="Times New Roman"/>
                <w:sz w:val="18"/>
                <w:szCs w:val="18"/>
                <w:lang w:eastAsia="sk-SK"/>
              </w:rPr>
              <w:t xml:space="preserve">stavná zdravotná starostlivosť poskytovaná v nemocniciach, ktoré sú </w:t>
            </w:r>
          </w:p>
          <w:p w14:paraId="0023B888" w14:textId="382A17EA" w:rsidR="00B808B1" w:rsidRPr="00EB6D39" w:rsidRDefault="00B808B1" w:rsidP="00B808B1">
            <w:pPr>
              <w:pStyle w:val="Odsekzoznamu"/>
              <w:numPr>
                <w:ilvl w:val="0"/>
                <w:numId w:val="44"/>
              </w:numPr>
              <w:spacing w:after="0" w:line="240" w:lineRule="auto"/>
              <w:ind w:left="356" w:hanging="283"/>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uvedené v zozname nemocníc</w:t>
            </w:r>
            <w:r w:rsidRPr="00EB6D39">
              <w:rPr>
                <w:rFonts w:ascii="Times New Roman" w:hAnsi="Times New Roman" w:cs="Times New Roman"/>
                <w:sz w:val="18"/>
                <w:szCs w:val="18"/>
                <w:vertAlign w:val="superscript"/>
                <w:lang w:eastAsia="sk-SK"/>
              </w:rPr>
              <w:t>1</w:t>
            </w:r>
            <w:r w:rsidRPr="00EB6D39">
              <w:rPr>
                <w:rFonts w:ascii="Times New Roman" w:hAnsi="Times New Roman" w:cs="Times New Roman"/>
                <w:sz w:val="18"/>
                <w:szCs w:val="18"/>
                <w:lang w:eastAsia="sk-SK"/>
              </w:rPr>
              <w:t>) a ktorých procesy riadenia centrálne koordinuje Ministerstvo zdravotníctva Slovenskej republiky</w:t>
            </w:r>
            <w:r w:rsidR="00D15041">
              <w:rPr>
                <w:rFonts w:ascii="Times New Roman" w:hAnsi="Times New Roman" w:cs="Times New Roman"/>
                <w:sz w:val="18"/>
                <w:szCs w:val="18"/>
                <w:lang w:eastAsia="sk-SK"/>
              </w:rPr>
              <w:t>,</w:t>
            </w:r>
            <w:r w:rsidRPr="00EB6D39">
              <w:rPr>
                <w:rFonts w:ascii="Times New Roman" w:hAnsi="Times New Roman" w:cs="Times New Roman"/>
                <w:sz w:val="18"/>
                <w:szCs w:val="18"/>
                <w:lang w:eastAsia="sk-SK"/>
              </w:rPr>
              <w:t xml:space="preserve"> </w:t>
            </w:r>
          </w:p>
          <w:p w14:paraId="756AE22A" w14:textId="77777777" w:rsidR="00B808B1" w:rsidRPr="00EB6D39" w:rsidRDefault="00B808B1" w:rsidP="00B808B1">
            <w:pPr>
              <w:pStyle w:val="Odsekzoznamu"/>
              <w:numPr>
                <w:ilvl w:val="0"/>
                <w:numId w:val="44"/>
              </w:numPr>
              <w:spacing w:after="0" w:line="240" w:lineRule="auto"/>
              <w:ind w:left="357"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príspevkovou organizáciou Ministerstva obrany Slovenskej republiky, a</w:t>
            </w:r>
          </w:p>
          <w:p w14:paraId="55A8CF2F" w14:textId="0F1EE2FF" w:rsidR="00B808B1" w:rsidRPr="00EB6D39" w:rsidRDefault="00B808B1" w:rsidP="00B808B1">
            <w:pPr>
              <w:pStyle w:val="Odsekzoznamu"/>
              <w:numPr>
                <w:ilvl w:val="0"/>
                <w:numId w:val="44"/>
              </w:numPr>
              <w:spacing w:after="0" w:line="240" w:lineRule="auto"/>
              <w:ind w:left="357" w:hanging="284"/>
              <w:contextualSpacing w:val="0"/>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lang w:eastAsia="sk-SK"/>
              </w:rPr>
              <w:t xml:space="preserve">akciovou spoločnosťou </w:t>
            </w:r>
            <w:r w:rsidR="00A84765" w:rsidRPr="00A84765">
              <w:rPr>
                <w:rFonts w:ascii="Times New Roman" w:hAnsi="Times New Roman" w:cs="Times New Roman"/>
                <w:sz w:val="18"/>
                <w:szCs w:val="18"/>
                <w:lang w:eastAsia="sk-SK"/>
              </w:rPr>
              <w:t>v zakladateľskej pôsobnosti Ministerstva vnútra Slovenskej republiky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8212147" w14:textId="59E47A2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191 000 000</w:t>
            </w:r>
          </w:p>
        </w:tc>
        <w:tc>
          <w:tcPr>
            <w:tcW w:w="992" w:type="dxa"/>
            <w:tcBorders>
              <w:top w:val="nil"/>
              <w:left w:val="nil"/>
              <w:bottom w:val="single" w:sz="4" w:space="0" w:color="auto"/>
              <w:right w:val="single" w:sz="4" w:space="0" w:color="auto"/>
            </w:tcBorders>
            <w:shd w:val="clear" w:color="auto" w:fill="auto"/>
            <w:noWrap/>
            <w:vAlign w:val="center"/>
            <w:hideMark/>
          </w:tcPr>
          <w:p w14:paraId="3A068D84" w14:textId="77C38E1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286FC9EF" w14:textId="3685BFE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63A2AC84" w14:textId="70F8D63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3" w:type="dxa"/>
            <w:tcBorders>
              <w:top w:val="nil"/>
              <w:left w:val="nil"/>
              <w:bottom w:val="single" w:sz="4" w:space="0" w:color="auto"/>
              <w:right w:val="nil"/>
            </w:tcBorders>
            <w:shd w:val="clear" w:color="auto" w:fill="auto"/>
            <w:vAlign w:val="center"/>
            <w:hideMark/>
          </w:tcPr>
          <w:p w14:paraId="72C123DC" w14:textId="019E351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76899BF1" w14:textId="784D2C9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191 000 000</w:t>
            </w:r>
          </w:p>
        </w:tc>
        <w:tc>
          <w:tcPr>
            <w:tcW w:w="765" w:type="dxa"/>
            <w:tcBorders>
              <w:top w:val="nil"/>
              <w:left w:val="nil"/>
              <w:bottom w:val="single" w:sz="4" w:space="0" w:color="auto"/>
              <w:right w:val="single" w:sz="8" w:space="0" w:color="auto"/>
            </w:tcBorders>
            <w:shd w:val="clear" w:color="auto" w:fill="auto"/>
            <w:noWrap/>
            <w:vAlign w:val="center"/>
            <w:hideMark/>
          </w:tcPr>
          <w:p w14:paraId="1830517B" w14:textId="79CC33E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071" w:type="dxa"/>
            <w:tcBorders>
              <w:top w:val="nil"/>
              <w:left w:val="nil"/>
              <w:bottom w:val="single" w:sz="4" w:space="0" w:color="auto"/>
              <w:right w:val="single" w:sz="8" w:space="0" w:color="auto"/>
            </w:tcBorders>
            <w:shd w:val="clear" w:color="auto" w:fill="auto"/>
            <w:noWrap/>
            <w:vAlign w:val="center"/>
            <w:hideMark/>
          </w:tcPr>
          <w:p w14:paraId="10B2A8F0" w14:textId="59B61C3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146" w:type="dxa"/>
            <w:tcBorders>
              <w:top w:val="nil"/>
              <w:left w:val="single" w:sz="4" w:space="0" w:color="auto"/>
              <w:bottom w:val="single" w:sz="4" w:space="0" w:color="auto"/>
              <w:right w:val="nil"/>
            </w:tcBorders>
            <w:shd w:val="clear" w:color="auto" w:fill="auto"/>
            <w:noWrap/>
            <w:vAlign w:val="center"/>
            <w:hideMark/>
          </w:tcPr>
          <w:p w14:paraId="3107BD14" w14:textId="6B68F75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10ED8375" w14:textId="6AF60AD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191 000 000</w:t>
            </w:r>
          </w:p>
        </w:tc>
        <w:tc>
          <w:tcPr>
            <w:tcW w:w="947" w:type="dxa"/>
            <w:tcBorders>
              <w:top w:val="nil"/>
              <w:left w:val="nil"/>
              <w:bottom w:val="single" w:sz="4" w:space="0" w:color="auto"/>
              <w:right w:val="single" w:sz="4" w:space="0" w:color="auto"/>
            </w:tcBorders>
            <w:shd w:val="clear" w:color="auto" w:fill="auto"/>
            <w:noWrap/>
            <w:vAlign w:val="center"/>
            <w:hideMark/>
          </w:tcPr>
          <w:p w14:paraId="02D8D528" w14:textId="1C6769B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5376151B" w14:textId="6832526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r>
      <w:tr w:rsidR="00B808B1" w:rsidRPr="00EB6D39" w14:paraId="26536D9D"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51C39F63"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Všeobecná ambulantná zdravotná starostlivosť</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8C6689D" w14:textId="4B735A5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471 912 636</w:t>
            </w:r>
          </w:p>
        </w:tc>
        <w:tc>
          <w:tcPr>
            <w:tcW w:w="992" w:type="dxa"/>
            <w:tcBorders>
              <w:top w:val="nil"/>
              <w:left w:val="nil"/>
              <w:bottom w:val="single" w:sz="4" w:space="0" w:color="auto"/>
              <w:right w:val="single" w:sz="4" w:space="0" w:color="auto"/>
            </w:tcBorders>
            <w:shd w:val="clear" w:color="auto" w:fill="auto"/>
            <w:noWrap/>
            <w:vAlign w:val="center"/>
            <w:hideMark/>
          </w:tcPr>
          <w:p w14:paraId="4EA82C18" w14:textId="3BCCCF8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24B0857D" w14:textId="09EEF56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4 207 315</w:t>
            </w:r>
          </w:p>
        </w:tc>
        <w:tc>
          <w:tcPr>
            <w:tcW w:w="992" w:type="dxa"/>
            <w:tcBorders>
              <w:top w:val="nil"/>
              <w:left w:val="nil"/>
              <w:bottom w:val="single" w:sz="4" w:space="0" w:color="auto"/>
              <w:right w:val="single" w:sz="4" w:space="0" w:color="auto"/>
            </w:tcBorders>
            <w:shd w:val="clear" w:color="auto" w:fill="auto"/>
            <w:noWrap/>
            <w:vAlign w:val="center"/>
            <w:hideMark/>
          </w:tcPr>
          <w:p w14:paraId="22FDCE0D" w14:textId="46CD487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22 934 568</w:t>
            </w:r>
          </w:p>
        </w:tc>
        <w:tc>
          <w:tcPr>
            <w:tcW w:w="993" w:type="dxa"/>
            <w:tcBorders>
              <w:top w:val="nil"/>
              <w:left w:val="nil"/>
              <w:bottom w:val="single" w:sz="4" w:space="0" w:color="auto"/>
              <w:right w:val="nil"/>
            </w:tcBorders>
            <w:shd w:val="clear" w:color="auto" w:fill="auto"/>
            <w:noWrap/>
            <w:vAlign w:val="center"/>
            <w:hideMark/>
          </w:tcPr>
          <w:p w14:paraId="7DD680B1" w14:textId="35B14C7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2913FA71" w14:textId="3CFF999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499 054 519</w:t>
            </w:r>
          </w:p>
        </w:tc>
        <w:tc>
          <w:tcPr>
            <w:tcW w:w="765" w:type="dxa"/>
            <w:tcBorders>
              <w:top w:val="nil"/>
              <w:left w:val="nil"/>
              <w:bottom w:val="single" w:sz="4" w:space="0" w:color="auto"/>
              <w:right w:val="single" w:sz="8" w:space="0" w:color="auto"/>
            </w:tcBorders>
            <w:shd w:val="clear" w:color="auto" w:fill="auto"/>
            <w:noWrap/>
            <w:vAlign w:val="center"/>
            <w:hideMark/>
          </w:tcPr>
          <w:p w14:paraId="7E7B8981" w14:textId="0A9A3B4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5,75%</w:t>
            </w:r>
          </w:p>
        </w:tc>
        <w:tc>
          <w:tcPr>
            <w:tcW w:w="1071" w:type="dxa"/>
            <w:tcBorders>
              <w:top w:val="nil"/>
              <w:left w:val="nil"/>
              <w:bottom w:val="single" w:sz="4" w:space="0" w:color="auto"/>
              <w:right w:val="single" w:sz="8" w:space="0" w:color="auto"/>
            </w:tcBorders>
            <w:shd w:val="clear" w:color="auto" w:fill="auto"/>
            <w:noWrap/>
            <w:vAlign w:val="center"/>
            <w:hideMark/>
          </w:tcPr>
          <w:p w14:paraId="64570C80" w14:textId="7563B79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27 141 883</w:t>
            </w:r>
          </w:p>
        </w:tc>
        <w:tc>
          <w:tcPr>
            <w:tcW w:w="1146" w:type="dxa"/>
            <w:tcBorders>
              <w:top w:val="nil"/>
              <w:left w:val="single" w:sz="4" w:space="0" w:color="auto"/>
              <w:bottom w:val="single" w:sz="4" w:space="0" w:color="auto"/>
              <w:right w:val="nil"/>
            </w:tcBorders>
            <w:shd w:val="clear" w:color="auto" w:fill="auto"/>
            <w:noWrap/>
            <w:vAlign w:val="center"/>
            <w:hideMark/>
          </w:tcPr>
          <w:p w14:paraId="7A878767" w14:textId="7301312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3C6272C1" w14:textId="5D0AE2C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499 054 519</w:t>
            </w:r>
          </w:p>
        </w:tc>
        <w:tc>
          <w:tcPr>
            <w:tcW w:w="947" w:type="dxa"/>
            <w:tcBorders>
              <w:top w:val="nil"/>
              <w:left w:val="nil"/>
              <w:bottom w:val="single" w:sz="4" w:space="0" w:color="auto"/>
              <w:right w:val="single" w:sz="4" w:space="0" w:color="auto"/>
            </w:tcBorders>
            <w:shd w:val="clear" w:color="auto" w:fill="auto"/>
            <w:noWrap/>
            <w:vAlign w:val="center"/>
            <w:hideMark/>
          </w:tcPr>
          <w:p w14:paraId="27D9252A" w14:textId="0393F71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5,75%</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507387EF" w14:textId="5A69DBA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27 141 883</w:t>
            </w:r>
          </w:p>
        </w:tc>
      </w:tr>
      <w:tr w:rsidR="00B808B1" w:rsidRPr="00EB6D39" w14:paraId="3667EA19"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6610AE2A"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Spoločné vyšetrovacie a liečebné zložky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28F67BC4" w14:textId="4DDE2ED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574 417 913</w:t>
            </w:r>
          </w:p>
        </w:tc>
        <w:tc>
          <w:tcPr>
            <w:tcW w:w="992" w:type="dxa"/>
            <w:tcBorders>
              <w:top w:val="nil"/>
              <w:left w:val="nil"/>
              <w:bottom w:val="single" w:sz="4" w:space="0" w:color="auto"/>
              <w:right w:val="single" w:sz="4" w:space="0" w:color="auto"/>
            </w:tcBorders>
            <w:shd w:val="clear" w:color="auto" w:fill="auto"/>
            <w:noWrap/>
            <w:vAlign w:val="center"/>
            <w:hideMark/>
          </w:tcPr>
          <w:p w14:paraId="12F6E75F" w14:textId="1484A6A9"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2516E0D5" w14:textId="021DDA9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4 620 000</w:t>
            </w:r>
          </w:p>
        </w:tc>
        <w:tc>
          <w:tcPr>
            <w:tcW w:w="992" w:type="dxa"/>
            <w:tcBorders>
              <w:top w:val="nil"/>
              <w:left w:val="nil"/>
              <w:bottom w:val="single" w:sz="4" w:space="0" w:color="auto"/>
              <w:right w:val="single" w:sz="4" w:space="0" w:color="auto"/>
            </w:tcBorders>
            <w:shd w:val="clear" w:color="auto" w:fill="auto"/>
            <w:noWrap/>
            <w:vAlign w:val="center"/>
            <w:hideMark/>
          </w:tcPr>
          <w:p w14:paraId="79BC237E" w14:textId="2B2ED57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25 162 661</w:t>
            </w:r>
          </w:p>
        </w:tc>
        <w:tc>
          <w:tcPr>
            <w:tcW w:w="993" w:type="dxa"/>
            <w:tcBorders>
              <w:top w:val="nil"/>
              <w:left w:val="nil"/>
              <w:bottom w:val="single" w:sz="4" w:space="0" w:color="auto"/>
              <w:right w:val="nil"/>
            </w:tcBorders>
            <w:shd w:val="clear" w:color="auto" w:fill="auto"/>
            <w:noWrap/>
            <w:vAlign w:val="center"/>
            <w:hideMark/>
          </w:tcPr>
          <w:p w14:paraId="41AA89FE" w14:textId="0B3B0C5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467C9A6F" w14:textId="3C8EE25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604 200 574</w:t>
            </w:r>
          </w:p>
        </w:tc>
        <w:tc>
          <w:tcPr>
            <w:tcW w:w="765" w:type="dxa"/>
            <w:tcBorders>
              <w:top w:val="nil"/>
              <w:left w:val="nil"/>
              <w:bottom w:val="single" w:sz="4" w:space="0" w:color="auto"/>
              <w:right w:val="single" w:sz="8" w:space="0" w:color="auto"/>
            </w:tcBorders>
            <w:shd w:val="clear" w:color="auto" w:fill="auto"/>
            <w:noWrap/>
            <w:vAlign w:val="center"/>
            <w:hideMark/>
          </w:tcPr>
          <w:p w14:paraId="353D60E7" w14:textId="6995B3E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5,18%</w:t>
            </w:r>
          </w:p>
        </w:tc>
        <w:tc>
          <w:tcPr>
            <w:tcW w:w="1071" w:type="dxa"/>
            <w:tcBorders>
              <w:top w:val="nil"/>
              <w:left w:val="nil"/>
              <w:bottom w:val="single" w:sz="4" w:space="0" w:color="auto"/>
              <w:right w:val="single" w:sz="8" w:space="0" w:color="auto"/>
            </w:tcBorders>
            <w:shd w:val="clear" w:color="auto" w:fill="auto"/>
            <w:noWrap/>
            <w:vAlign w:val="center"/>
            <w:hideMark/>
          </w:tcPr>
          <w:p w14:paraId="0EBB49D3" w14:textId="21C8624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29 782 661</w:t>
            </w:r>
          </w:p>
        </w:tc>
        <w:tc>
          <w:tcPr>
            <w:tcW w:w="1146" w:type="dxa"/>
            <w:tcBorders>
              <w:top w:val="nil"/>
              <w:left w:val="single" w:sz="4" w:space="0" w:color="auto"/>
              <w:bottom w:val="single" w:sz="4" w:space="0" w:color="auto"/>
              <w:right w:val="nil"/>
            </w:tcBorders>
            <w:shd w:val="clear" w:color="auto" w:fill="auto"/>
            <w:noWrap/>
            <w:vAlign w:val="center"/>
            <w:hideMark/>
          </w:tcPr>
          <w:p w14:paraId="420BD734" w14:textId="18098BC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B4BBE88" w14:textId="6686AD1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604 200 574</w:t>
            </w:r>
          </w:p>
        </w:tc>
        <w:tc>
          <w:tcPr>
            <w:tcW w:w="947" w:type="dxa"/>
            <w:tcBorders>
              <w:top w:val="nil"/>
              <w:left w:val="nil"/>
              <w:bottom w:val="single" w:sz="4" w:space="0" w:color="auto"/>
              <w:right w:val="single" w:sz="4" w:space="0" w:color="auto"/>
            </w:tcBorders>
            <w:shd w:val="clear" w:color="auto" w:fill="auto"/>
            <w:noWrap/>
            <w:vAlign w:val="center"/>
            <w:hideMark/>
          </w:tcPr>
          <w:p w14:paraId="03D93CAE" w14:textId="0A802654"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5,18%</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3FF98773" w14:textId="671291E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29 782 661</w:t>
            </w:r>
          </w:p>
        </w:tc>
      </w:tr>
      <w:tr w:rsidR="00B808B1" w:rsidRPr="00EB6D39" w14:paraId="5405A65B"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16229D77"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Špecializovaná ambulantná zdravotná starostlivosť</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8FF9A9F" w14:textId="4F7262B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1 416 985 203</w:t>
            </w:r>
          </w:p>
        </w:tc>
        <w:tc>
          <w:tcPr>
            <w:tcW w:w="992" w:type="dxa"/>
            <w:tcBorders>
              <w:top w:val="nil"/>
              <w:left w:val="nil"/>
              <w:bottom w:val="single" w:sz="4" w:space="0" w:color="auto"/>
              <w:right w:val="single" w:sz="4" w:space="0" w:color="auto"/>
            </w:tcBorders>
            <w:shd w:val="clear" w:color="auto" w:fill="auto"/>
            <w:noWrap/>
            <w:vAlign w:val="center"/>
            <w:hideMark/>
          </w:tcPr>
          <w:p w14:paraId="10DBAF0A" w14:textId="616D5C4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56D6CDFA" w14:textId="7E9519B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12 600 000</w:t>
            </w:r>
          </w:p>
        </w:tc>
        <w:tc>
          <w:tcPr>
            <w:tcW w:w="992" w:type="dxa"/>
            <w:tcBorders>
              <w:top w:val="nil"/>
              <w:left w:val="nil"/>
              <w:bottom w:val="single" w:sz="4" w:space="0" w:color="auto"/>
              <w:right w:val="single" w:sz="4" w:space="0" w:color="auto"/>
            </w:tcBorders>
            <w:shd w:val="clear" w:color="auto" w:fill="auto"/>
            <w:noWrap/>
            <w:vAlign w:val="center"/>
            <w:hideMark/>
          </w:tcPr>
          <w:p w14:paraId="09A8C445" w14:textId="795A76C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68 862 055</w:t>
            </w:r>
          </w:p>
        </w:tc>
        <w:tc>
          <w:tcPr>
            <w:tcW w:w="993" w:type="dxa"/>
            <w:tcBorders>
              <w:top w:val="nil"/>
              <w:left w:val="nil"/>
              <w:bottom w:val="single" w:sz="4" w:space="0" w:color="auto"/>
              <w:right w:val="nil"/>
            </w:tcBorders>
            <w:shd w:val="clear" w:color="auto" w:fill="auto"/>
            <w:noWrap/>
            <w:vAlign w:val="center"/>
            <w:hideMark/>
          </w:tcPr>
          <w:p w14:paraId="2A7E3361" w14:textId="28B5541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6 594 994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4685DF70" w14:textId="2B0B835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1 505 042 252</w:t>
            </w:r>
          </w:p>
        </w:tc>
        <w:tc>
          <w:tcPr>
            <w:tcW w:w="765" w:type="dxa"/>
            <w:tcBorders>
              <w:top w:val="nil"/>
              <w:left w:val="nil"/>
              <w:bottom w:val="single" w:sz="4" w:space="0" w:color="auto"/>
              <w:right w:val="single" w:sz="8" w:space="0" w:color="auto"/>
            </w:tcBorders>
            <w:shd w:val="clear" w:color="auto" w:fill="auto"/>
            <w:noWrap/>
            <w:vAlign w:val="center"/>
            <w:hideMark/>
          </w:tcPr>
          <w:p w14:paraId="18D9A54E" w14:textId="44E3C6C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6,21%</w:t>
            </w:r>
          </w:p>
        </w:tc>
        <w:tc>
          <w:tcPr>
            <w:tcW w:w="1071" w:type="dxa"/>
            <w:tcBorders>
              <w:top w:val="nil"/>
              <w:left w:val="nil"/>
              <w:bottom w:val="single" w:sz="4" w:space="0" w:color="auto"/>
              <w:right w:val="single" w:sz="8" w:space="0" w:color="auto"/>
            </w:tcBorders>
            <w:shd w:val="clear" w:color="auto" w:fill="auto"/>
            <w:noWrap/>
            <w:vAlign w:val="center"/>
            <w:hideMark/>
          </w:tcPr>
          <w:p w14:paraId="70A75E1A" w14:textId="3F1ACF6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88 057 049</w:t>
            </w:r>
          </w:p>
        </w:tc>
        <w:tc>
          <w:tcPr>
            <w:tcW w:w="1146" w:type="dxa"/>
            <w:tcBorders>
              <w:top w:val="nil"/>
              <w:left w:val="single" w:sz="4" w:space="0" w:color="auto"/>
              <w:bottom w:val="single" w:sz="4" w:space="0" w:color="auto"/>
              <w:right w:val="nil"/>
            </w:tcBorders>
            <w:shd w:val="clear" w:color="auto" w:fill="auto"/>
            <w:noWrap/>
            <w:vAlign w:val="center"/>
            <w:hideMark/>
          </w:tcPr>
          <w:p w14:paraId="5FD1F132" w14:textId="5140192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141EFEC8" w14:textId="66C8355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1 505 042 252</w:t>
            </w:r>
          </w:p>
        </w:tc>
        <w:tc>
          <w:tcPr>
            <w:tcW w:w="947" w:type="dxa"/>
            <w:tcBorders>
              <w:top w:val="nil"/>
              <w:left w:val="nil"/>
              <w:bottom w:val="single" w:sz="4" w:space="0" w:color="auto"/>
              <w:right w:val="single" w:sz="4" w:space="0" w:color="auto"/>
            </w:tcBorders>
            <w:shd w:val="clear" w:color="auto" w:fill="auto"/>
            <w:noWrap/>
            <w:vAlign w:val="center"/>
            <w:hideMark/>
          </w:tcPr>
          <w:p w14:paraId="0420FC8D" w14:textId="5F7D4B0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6,21%</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0085620D" w14:textId="76A1EF5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88 057 049</w:t>
            </w:r>
          </w:p>
        </w:tc>
      </w:tr>
      <w:tr w:rsidR="00B808B1" w:rsidRPr="00EB6D39" w14:paraId="37611740" w14:textId="77777777" w:rsidTr="00B808B1">
        <w:trPr>
          <w:trHeight w:val="292"/>
        </w:trPr>
        <w:tc>
          <w:tcPr>
            <w:tcW w:w="2836" w:type="dxa"/>
            <w:tcBorders>
              <w:top w:val="nil"/>
              <w:left w:val="single" w:sz="8" w:space="0" w:color="auto"/>
              <w:bottom w:val="single" w:sz="4" w:space="0" w:color="auto"/>
              <w:right w:val="single" w:sz="4" w:space="0" w:color="auto"/>
            </w:tcBorders>
            <w:shd w:val="clear" w:color="auto" w:fill="auto"/>
            <w:vAlign w:val="bottom"/>
            <w:hideMark/>
          </w:tcPr>
          <w:p w14:paraId="1C721274"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Ambulantná pohotovostná služba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F3AA63F" w14:textId="4DB831C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21 308 441</w:t>
            </w:r>
          </w:p>
        </w:tc>
        <w:tc>
          <w:tcPr>
            <w:tcW w:w="992" w:type="dxa"/>
            <w:tcBorders>
              <w:top w:val="nil"/>
              <w:left w:val="nil"/>
              <w:bottom w:val="single" w:sz="4" w:space="0" w:color="auto"/>
              <w:right w:val="single" w:sz="4" w:space="0" w:color="auto"/>
            </w:tcBorders>
            <w:shd w:val="clear" w:color="auto" w:fill="auto"/>
            <w:noWrap/>
            <w:vAlign w:val="center"/>
            <w:hideMark/>
          </w:tcPr>
          <w:p w14:paraId="6808A69F" w14:textId="64554BF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2EED214B" w14:textId="7259E95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161 000</w:t>
            </w:r>
          </w:p>
        </w:tc>
        <w:tc>
          <w:tcPr>
            <w:tcW w:w="992" w:type="dxa"/>
            <w:tcBorders>
              <w:top w:val="nil"/>
              <w:left w:val="nil"/>
              <w:bottom w:val="single" w:sz="4" w:space="0" w:color="auto"/>
              <w:right w:val="single" w:sz="4" w:space="0" w:color="auto"/>
            </w:tcBorders>
            <w:shd w:val="clear" w:color="auto" w:fill="auto"/>
            <w:noWrap/>
            <w:vAlign w:val="center"/>
            <w:hideMark/>
          </w:tcPr>
          <w:p w14:paraId="5A22F391" w14:textId="64F84DA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869 684</w:t>
            </w:r>
          </w:p>
        </w:tc>
        <w:tc>
          <w:tcPr>
            <w:tcW w:w="993" w:type="dxa"/>
            <w:tcBorders>
              <w:top w:val="nil"/>
              <w:left w:val="nil"/>
              <w:bottom w:val="single" w:sz="4" w:space="0" w:color="auto"/>
              <w:right w:val="nil"/>
            </w:tcBorders>
            <w:shd w:val="clear" w:color="auto" w:fill="auto"/>
            <w:noWrap/>
            <w:vAlign w:val="center"/>
            <w:hideMark/>
          </w:tcPr>
          <w:p w14:paraId="09E6D9CC" w14:textId="0D4DEED0"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780 074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783E0B99" w14:textId="0CE0290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23 119 199</w:t>
            </w:r>
          </w:p>
        </w:tc>
        <w:tc>
          <w:tcPr>
            <w:tcW w:w="765" w:type="dxa"/>
            <w:tcBorders>
              <w:top w:val="nil"/>
              <w:left w:val="nil"/>
              <w:bottom w:val="single" w:sz="4" w:space="0" w:color="auto"/>
              <w:right w:val="single" w:sz="8" w:space="0" w:color="auto"/>
            </w:tcBorders>
            <w:shd w:val="clear" w:color="auto" w:fill="auto"/>
            <w:noWrap/>
            <w:vAlign w:val="center"/>
            <w:hideMark/>
          </w:tcPr>
          <w:p w14:paraId="7F4FD807" w14:textId="100CB6C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8,50%</w:t>
            </w:r>
          </w:p>
        </w:tc>
        <w:tc>
          <w:tcPr>
            <w:tcW w:w="1071" w:type="dxa"/>
            <w:tcBorders>
              <w:top w:val="nil"/>
              <w:left w:val="nil"/>
              <w:bottom w:val="single" w:sz="4" w:space="0" w:color="auto"/>
              <w:right w:val="single" w:sz="8" w:space="0" w:color="auto"/>
            </w:tcBorders>
            <w:shd w:val="clear" w:color="auto" w:fill="auto"/>
            <w:noWrap/>
            <w:vAlign w:val="center"/>
            <w:hideMark/>
          </w:tcPr>
          <w:p w14:paraId="351F70AA" w14:textId="386A794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1 810 758</w:t>
            </w:r>
          </w:p>
        </w:tc>
        <w:tc>
          <w:tcPr>
            <w:tcW w:w="1146" w:type="dxa"/>
            <w:tcBorders>
              <w:top w:val="nil"/>
              <w:left w:val="single" w:sz="4" w:space="0" w:color="auto"/>
              <w:bottom w:val="single" w:sz="4" w:space="0" w:color="auto"/>
              <w:right w:val="nil"/>
            </w:tcBorders>
            <w:shd w:val="clear" w:color="auto" w:fill="auto"/>
            <w:noWrap/>
            <w:vAlign w:val="center"/>
            <w:hideMark/>
          </w:tcPr>
          <w:p w14:paraId="123207CC" w14:textId="426555A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2461CF03" w14:textId="1A69E924"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23 119 199</w:t>
            </w:r>
          </w:p>
        </w:tc>
        <w:tc>
          <w:tcPr>
            <w:tcW w:w="947" w:type="dxa"/>
            <w:tcBorders>
              <w:top w:val="nil"/>
              <w:left w:val="nil"/>
              <w:bottom w:val="single" w:sz="4" w:space="0" w:color="auto"/>
              <w:right w:val="single" w:sz="4" w:space="0" w:color="auto"/>
            </w:tcBorders>
            <w:shd w:val="clear" w:color="auto" w:fill="auto"/>
            <w:noWrap/>
            <w:vAlign w:val="center"/>
            <w:hideMark/>
          </w:tcPr>
          <w:p w14:paraId="574F7EE1" w14:textId="66CAB2BD"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8,50%</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1FC360F2" w14:textId="3EC2377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1 810 758</w:t>
            </w:r>
          </w:p>
        </w:tc>
      </w:tr>
      <w:tr w:rsidR="00B808B1" w:rsidRPr="00EB6D39" w14:paraId="695DD8B3" w14:textId="77777777" w:rsidTr="00B808B1">
        <w:trPr>
          <w:trHeight w:val="292"/>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1AA486A"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lastRenderedPageBreak/>
              <w:t>Záchranná zdravotná služba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CA8BAD6" w14:textId="1AD8B6A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217 145 442</w:t>
            </w:r>
          </w:p>
        </w:tc>
        <w:tc>
          <w:tcPr>
            <w:tcW w:w="992" w:type="dxa"/>
            <w:tcBorders>
              <w:top w:val="nil"/>
              <w:left w:val="nil"/>
              <w:bottom w:val="single" w:sz="4" w:space="0" w:color="auto"/>
              <w:right w:val="single" w:sz="4" w:space="0" w:color="auto"/>
            </w:tcBorders>
            <w:shd w:val="clear" w:color="auto" w:fill="auto"/>
            <w:noWrap/>
            <w:vAlign w:val="center"/>
            <w:hideMark/>
          </w:tcPr>
          <w:p w14:paraId="001483A8" w14:textId="675920A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2E0B6454" w14:textId="55E565E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420 000</w:t>
            </w:r>
          </w:p>
        </w:tc>
        <w:tc>
          <w:tcPr>
            <w:tcW w:w="992" w:type="dxa"/>
            <w:tcBorders>
              <w:top w:val="nil"/>
              <w:left w:val="nil"/>
              <w:bottom w:val="single" w:sz="4" w:space="0" w:color="auto"/>
              <w:right w:val="single" w:sz="4" w:space="0" w:color="auto"/>
            </w:tcBorders>
            <w:shd w:val="clear" w:color="auto" w:fill="auto"/>
            <w:noWrap/>
            <w:vAlign w:val="center"/>
            <w:hideMark/>
          </w:tcPr>
          <w:p w14:paraId="0614A903" w14:textId="35E399E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18 008 089</w:t>
            </w:r>
          </w:p>
        </w:tc>
        <w:tc>
          <w:tcPr>
            <w:tcW w:w="993" w:type="dxa"/>
            <w:tcBorders>
              <w:top w:val="nil"/>
              <w:left w:val="nil"/>
              <w:bottom w:val="single" w:sz="4" w:space="0" w:color="auto"/>
              <w:right w:val="nil"/>
            </w:tcBorders>
            <w:shd w:val="clear" w:color="auto" w:fill="auto"/>
            <w:noWrap/>
            <w:vAlign w:val="center"/>
            <w:hideMark/>
          </w:tcPr>
          <w:p w14:paraId="61A48592" w14:textId="7E11D85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7FA515B1" w14:textId="28A1612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235 573 531</w:t>
            </w:r>
          </w:p>
        </w:tc>
        <w:tc>
          <w:tcPr>
            <w:tcW w:w="765" w:type="dxa"/>
            <w:tcBorders>
              <w:top w:val="nil"/>
              <w:left w:val="nil"/>
              <w:bottom w:val="single" w:sz="4" w:space="0" w:color="auto"/>
              <w:right w:val="single" w:sz="8" w:space="0" w:color="auto"/>
            </w:tcBorders>
            <w:shd w:val="clear" w:color="auto" w:fill="auto"/>
            <w:noWrap/>
            <w:vAlign w:val="center"/>
            <w:hideMark/>
          </w:tcPr>
          <w:p w14:paraId="7B3E1777" w14:textId="467E684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8,49%</w:t>
            </w:r>
          </w:p>
        </w:tc>
        <w:tc>
          <w:tcPr>
            <w:tcW w:w="1071" w:type="dxa"/>
            <w:tcBorders>
              <w:top w:val="nil"/>
              <w:left w:val="nil"/>
              <w:bottom w:val="single" w:sz="4" w:space="0" w:color="auto"/>
              <w:right w:val="single" w:sz="8" w:space="0" w:color="auto"/>
            </w:tcBorders>
            <w:shd w:val="clear" w:color="auto" w:fill="auto"/>
            <w:noWrap/>
            <w:vAlign w:val="center"/>
            <w:hideMark/>
          </w:tcPr>
          <w:p w14:paraId="18172D4A" w14:textId="5AE3412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18 428 089</w:t>
            </w:r>
          </w:p>
        </w:tc>
        <w:tc>
          <w:tcPr>
            <w:tcW w:w="1146" w:type="dxa"/>
            <w:tcBorders>
              <w:top w:val="nil"/>
              <w:left w:val="single" w:sz="4" w:space="0" w:color="auto"/>
              <w:bottom w:val="single" w:sz="4" w:space="0" w:color="auto"/>
              <w:right w:val="nil"/>
            </w:tcBorders>
            <w:shd w:val="clear" w:color="auto" w:fill="auto"/>
            <w:noWrap/>
            <w:vAlign w:val="center"/>
            <w:hideMark/>
          </w:tcPr>
          <w:p w14:paraId="4C312981" w14:textId="3C5AA33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1512077E" w14:textId="644F050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235 573 531</w:t>
            </w:r>
          </w:p>
        </w:tc>
        <w:tc>
          <w:tcPr>
            <w:tcW w:w="947" w:type="dxa"/>
            <w:tcBorders>
              <w:top w:val="nil"/>
              <w:left w:val="nil"/>
              <w:bottom w:val="single" w:sz="4" w:space="0" w:color="auto"/>
              <w:right w:val="single" w:sz="4" w:space="0" w:color="auto"/>
            </w:tcBorders>
            <w:shd w:val="clear" w:color="auto" w:fill="auto"/>
            <w:noWrap/>
            <w:vAlign w:val="center"/>
            <w:hideMark/>
          </w:tcPr>
          <w:p w14:paraId="6FB62724" w14:textId="3E5EEA3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8,49%</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3A087D06" w14:textId="4F3AEB6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18 428 089</w:t>
            </w:r>
          </w:p>
        </w:tc>
      </w:tr>
      <w:tr w:rsidR="00B808B1" w:rsidRPr="00EB6D39" w14:paraId="1E10C771" w14:textId="77777777" w:rsidTr="00B808B1">
        <w:trPr>
          <w:trHeight w:val="292"/>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2206F40"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Kúpeľná starostlivosť</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01589CD5" w14:textId="50CCCEE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66 562 951</w:t>
            </w:r>
          </w:p>
        </w:tc>
        <w:tc>
          <w:tcPr>
            <w:tcW w:w="992" w:type="dxa"/>
            <w:tcBorders>
              <w:top w:val="nil"/>
              <w:left w:val="nil"/>
              <w:bottom w:val="single" w:sz="4" w:space="0" w:color="auto"/>
              <w:right w:val="single" w:sz="4" w:space="0" w:color="auto"/>
            </w:tcBorders>
            <w:shd w:val="clear" w:color="auto" w:fill="auto"/>
            <w:noWrap/>
            <w:vAlign w:val="center"/>
            <w:hideMark/>
          </w:tcPr>
          <w:p w14:paraId="3F853BCB" w14:textId="3D6B93E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7553BF39" w14:textId="08C264C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581 770</w:t>
            </w:r>
          </w:p>
        </w:tc>
        <w:tc>
          <w:tcPr>
            <w:tcW w:w="992" w:type="dxa"/>
            <w:tcBorders>
              <w:top w:val="nil"/>
              <w:left w:val="nil"/>
              <w:bottom w:val="single" w:sz="4" w:space="0" w:color="auto"/>
              <w:right w:val="single" w:sz="4" w:space="0" w:color="auto"/>
            </w:tcBorders>
            <w:shd w:val="clear" w:color="auto" w:fill="auto"/>
            <w:noWrap/>
            <w:vAlign w:val="center"/>
            <w:hideMark/>
          </w:tcPr>
          <w:p w14:paraId="28DBE944" w14:textId="47DB02B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5 328 591</w:t>
            </w:r>
          </w:p>
        </w:tc>
        <w:tc>
          <w:tcPr>
            <w:tcW w:w="993" w:type="dxa"/>
            <w:tcBorders>
              <w:top w:val="nil"/>
              <w:left w:val="nil"/>
              <w:bottom w:val="single" w:sz="4" w:space="0" w:color="auto"/>
              <w:right w:val="nil"/>
            </w:tcBorders>
            <w:shd w:val="clear" w:color="auto" w:fill="auto"/>
            <w:noWrap/>
            <w:vAlign w:val="center"/>
            <w:hideMark/>
          </w:tcPr>
          <w:p w14:paraId="17909D6A" w14:textId="32F3E12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21F39878" w14:textId="3996C2AA"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72 473 312</w:t>
            </w:r>
          </w:p>
        </w:tc>
        <w:tc>
          <w:tcPr>
            <w:tcW w:w="765" w:type="dxa"/>
            <w:tcBorders>
              <w:top w:val="nil"/>
              <w:left w:val="nil"/>
              <w:bottom w:val="single" w:sz="4" w:space="0" w:color="auto"/>
              <w:right w:val="single" w:sz="8" w:space="0" w:color="auto"/>
            </w:tcBorders>
            <w:shd w:val="clear" w:color="auto" w:fill="auto"/>
            <w:noWrap/>
            <w:vAlign w:val="center"/>
            <w:hideMark/>
          </w:tcPr>
          <w:p w14:paraId="192CE679" w14:textId="692E4CF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8,88%</w:t>
            </w:r>
          </w:p>
        </w:tc>
        <w:tc>
          <w:tcPr>
            <w:tcW w:w="1071" w:type="dxa"/>
            <w:tcBorders>
              <w:top w:val="nil"/>
              <w:left w:val="nil"/>
              <w:bottom w:val="single" w:sz="4" w:space="0" w:color="auto"/>
              <w:right w:val="single" w:sz="8" w:space="0" w:color="auto"/>
            </w:tcBorders>
            <w:shd w:val="clear" w:color="auto" w:fill="auto"/>
            <w:noWrap/>
            <w:vAlign w:val="center"/>
            <w:hideMark/>
          </w:tcPr>
          <w:p w14:paraId="6A92703E" w14:textId="3EC7A72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5 910 361</w:t>
            </w:r>
          </w:p>
        </w:tc>
        <w:tc>
          <w:tcPr>
            <w:tcW w:w="1146" w:type="dxa"/>
            <w:tcBorders>
              <w:top w:val="nil"/>
              <w:left w:val="single" w:sz="4" w:space="0" w:color="auto"/>
              <w:bottom w:val="single" w:sz="4" w:space="0" w:color="auto"/>
              <w:right w:val="nil"/>
            </w:tcBorders>
            <w:shd w:val="clear" w:color="auto" w:fill="auto"/>
            <w:noWrap/>
            <w:vAlign w:val="center"/>
            <w:hideMark/>
          </w:tcPr>
          <w:p w14:paraId="0EE8F4E2" w14:textId="77A8D69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-2 100 000</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1A074D55" w14:textId="29152E5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70 373 312</w:t>
            </w:r>
          </w:p>
        </w:tc>
        <w:tc>
          <w:tcPr>
            <w:tcW w:w="947" w:type="dxa"/>
            <w:tcBorders>
              <w:top w:val="nil"/>
              <w:left w:val="nil"/>
              <w:bottom w:val="single" w:sz="4" w:space="0" w:color="auto"/>
              <w:right w:val="single" w:sz="4" w:space="0" w:color="auto"/>
            </w:tcBorders>
            <w:shd w:val="clear" w:color="auto" w:fill="auto"/>
            <w:noWrap/>
            <w:vAlign w:val="center"/>
            <w:hideMark/>
          </w:tcPr>
          <w:p w14:paraId="252E7771" w14:textId="7AAD2E34"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5,72%</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02A9016C" w14:textId="07D75A39"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3 810 361</w:t>
            </w:r>
          </w:p>
        </w:tc>
      </w:tr>
      <w:tr w:rsidR="00B808B1" w:rsidRPr="00EB6D39" w14:paraId="58A74B2D" w14:textId="77777777" w:rsidTr="00B808B1">
        <w:trPr>
          <w:trHeight w:val="292"/>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704880"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Dopravná zdravotná služba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669A2F5D" w14:textId="662D99B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44 963 104</w:t>
            </w:r>
          </w:p>
        </w:tc>
        <w:tc>
          <w:tcPr>
            <w:tcW w:w="992" w:type="dxa"/>
            <w:tcBorders>
              <w:top w:val="nil"/>
              <w:left w:val="nil"/>
              <w:bottom w:val="single" w:sz="4" w:space="0" w:color="auto"/>
              <w:right w:val="single" w:sz="4" w:space="0" w:color="auto"/>
            </w:tcBorders>
            <w:shd w:val="clear" w:color="auto" w:fill="auto"/>
            <w:noWrap/>
            <w:vAlign w:val="center"/>
            <w:hideMark/>
          </w:tcPr>
          <w:p w14:paraId="4417ECF5" w14:textId="1BC4923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64EA5B9A" w14:textId="51CF8FF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980 000</w:t>
            </w:r>
          </w:p>
        </w:tc>
        <w:tc>
          <w:tcPr>
            <w:tcW w:w="992" w:type="dxa"/>
            <w:tcBorders>
              <w:top w:val="nil"/>
              <w:left w:val="nil"/>
              <w:bottom w:val="single" w:sz="4" w:space="0" w:color="auto"/>
              <w:right w:val="single" w:sz="4" w:space="0" w:color="auto"/>
            </w:tcBorders>
            <w:shd w:val="clear" w:color="auto" w:fill="auto"/>
            <w:noWrap/>
            <w:vAlign w:val="center"/>
            <w:hideMark/>
          </w:tcPr>
          <w:p w14:paraId="0DC912AB" w14:textId="0E24F0D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1 763 082</w:t>
            </w:r>
          </w:p>
        </w:tc>
        <w:tc>
          <w:tcPr>
            <w:tcW w:w="993" w:type="dxa"/>
            <w:tcBorders>
              <w:top w:val="nil"/>
              <w:left w:val="nil"/>
              <w:bottom w:val="single" w:sz="4" w:space="0" w:color="auto"/>
              <w:right w:val="nil"/>
            </w:tcBorders>
            <w:shd w:val="clear" w:color="auto" w:fill="auto"/>
            <w:noWrap/>
            <w:vAlign w:val="center"/>
            <w:hideMark/>
          </w:tcPr>
          <w:p w14:paraId="75DDD6ED" w14:textId="3EB69A6F"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A8B33C3" w14:textId="480E554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47 706 186</w:t>
            </w:r>
          </w:p>
        </w:tc>
        <w:tc>
          <w:tcPr>
            <w:tcW w:w="765" w:type="dxa"/>
            <w:tcBorders>
              <w:top w:val="nil"/>
              <w:left w:val="nil"/>
              <w:bottom w:val="single" w:sz="4" w:space="0" w:color="auto"/>
              <w:right w:val="single" w:sz="8" w:space="0" w:color="auto"/>
            </w:tcBorders>
            <w:shd w:val="clear" w:color="auto" w:fill="auto"/>
            <w:noWrap/>
            <w:vAlign w:val="center"/>
            <w:hideMark/>
          </w:tcPr>
          <w:p w14:paraId="294DAECF" w14:textId="650B8EC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6,10%</w:t>
            </w:r>
          </w:p>
        </w:tc>
        <w:tc>
          <w:tcPr>
            <w:tcW w:w="1071" w:type="dxa"/>
            <w:tcBorders>
              <w:top w:val="nil"/>
              <w:left w:val="nil"/>
              <w:bottom w:val="single" w:sz="4" w:space="0" w:color="auto"/>
              <w:right w:val="single" w:sz="8" w:space="0" w:color="auto"/>
            </w:tcBorders>
            <w:shd w:val="clear" w:color="auto" w:fill="auto"/>
            <w:noWrap/>
            <w:vAlign w:val="center"/>
            <w:hideMark/>
          </w:tcPr>
          <w:p w14:paraId="2438156A" w14:textId="1527159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2 743 082</w:t>
            </w:r>
          </w:p>
        </w:tc>
        <w:tc>
          <w:tcPr>
            <w:tcW w:w="1146" w:type="dxa"/>
            <w:tcBorders>
              <w:top w:val="nil"/>
              <w:left w:val="single" w:sz="4" w:space="0" w:color="auto"/>
              <w:bottom w:val="single" w:sz="4" w:space="0" w:color="auto"/>
              <w:right w:val="nil"/>
            </w:tcBorders>
            <w:shd w:val="clear" w:color="auto" w:fill="auto"/>
            <w:noWrap/>
            <w:vAlign w:val="center"/>
            <w:hideMark/>
          </w:tcPr>
          <w:p w14:paraId="169A51A9" w14:textId="4159043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393B852E" w14:textId="3429AEA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47 706 186</w:t>
            </w:r>
          </w:p>
        </w:tc>
        <w:tc>
          <w:tcPr>
            <w:tcW w:w="947" w:type="dxa"/>
            <w:tcBorders>
              <w:top w:val="nil"/>
              <w:left w:val="nil"/>
              <w:bottom w:val="single" w:sz="4" w:space="0" w:color="auto"/>
              <w:right w:val="single" w:sz="4" w:space="0" w:color="auto"/>
            </w:tcBorders>
            <w:shd w:val="clear" w:color="auto" w:fill="auto"/>
            <w:noWrap/>
            <w:vAlign w:val="center"/>
            <w:hideMark/>
          </w:tcPr>
          <w:p w14:paraId="3B7105CF" w14:textId="7CE005B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6,10%</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79F8B6B4" w14:textId="16CE85F2"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2 743 082</w:t>
            </w:r>
          </w:p>
        </w:tc>
      </w:tr>
      <w:tr w:rsidR="00B808B1" w:rsidRPr="00EB6D39" w14:paraId="578F1BD7" w14:textId="77777777" w:rsidTr="00B808B1">
        <w:trPr>
          <w:trHeight w:val="292"/>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3FEF713"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Vrtuľníková a letecká  záchranná zdravotná služba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7593DB7" w14:textId="5CA1CD98"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21 341 831</w:t>
            </w:r>
          </w:p>
        </w:tc>
        <w:tc>
          <w:tcPr>
            <w:tcW w:w="992" w:type="dxa"/>
            <w:tcBorders>
              <w:top w:val="nil"/>
              <w:left w:val="nil"/>
              <w:bottom w:val="single" w:sz="4" w:space="0" w:color="auto"/>
              <w:right w:val="single" w:sz="4" w:space="0" w:color="auto"/>
            </w:tcBorders>
            <w:shd w:val="clear" w:color="auto" w:fill="auto"/>
            <w:noWrap/>
            <w:vAlign w:val="center"/>
            <w:hideMark/>
          </w:tcPr>
          <w:p w14:paraId="75A15697" w14:textId="635222B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4983D923" w14:textId="0A88668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77 000</w:t>
            </w:r>
          </w:p>
        </w:tc>
        <w:tc>
          <w:tcPr>
            <w:tcW w:w="992" w:type="dxa"/>
            <w:tcBorders>
              <w:top w:val="nil"/>
              <w:left w:val="nil"/>
              <w:bottom w:val="single" w:sz="4" w:space="0" w:color="auto"/>
              <w:right w:val="single" w:sz="4" w:space="0" w:color="auto"/>
            </w:tcBorders>
            <w:shd w:val="clear" w:color="auto" w:fill="auto"/>
            <w:noWrap/>
            <w:vAlign w:val="center"/>
            <w:hideMark/>
          </w:tcPr>
          <w:p w14:paraId="622DFE56" w14:textId="4B60E19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1 999 417</w:t>
            </w:r>
          </w:p>
        </w:tc>
        <w:tc>
          <w:tcPr>
            <w:tcW w:w="993" w:type="dxa"/>
            <w:tcBorders>
              <w:top w:val="nil"/>
              <w:left w:val="nil"/>
              <w:bottom w:val="single" w:sz="4" w:space="0" w:color="auto"/>
              <w:right w:val="nil"/>
            </w:tcBorders>
            <w:shd w:val="clear" w:color="auto" w:fill="auto"/>
            <w:noWrap/>
            <w:vAlign w:val="center"/>
            <w:hideMark/>
          </w:tcPr>
          <w:p w14:paraId="1983154B" w14:textId="6DF8F86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                            -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4D48EE0" w14:textId="5B915B9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23 418 248</w:t>
            </w:r>
          </w:p>
        </w:tc>
        <w:tc>
          <w:tcPr>
            <w:tcW w:w="765" w:type="dxa"/>
            <w:tcBorders>
              <w:top w:val="nil"/>
              <w:left w:val="nil"/>
              <w:bottom w:val="single" w:sz="4" w:space="0" w:color="auto"/>
              <w:right w:val="single" w:sz="8" w:space="0" w:color="auto"/>
            </w:tcBorders>
            <w:shd w:val="clear" w:color="auto" w:fill="auto"/>
            <w:noWrap/>
            <w:vAlign w:val="center"/>
            <w:hideMark/>
          </w:tcPr>
          <w:p w14:paraId="7979FCCA" w14:textId="413D4C4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9,73%</w:t>
            </w:r>
          </w:p>
        </w:tc>
        <w:tc>
          <w:tcPr>
            <w:tcW w:w="1071" w:type="dxa"/>
            <w:tcBorders>
              <w:top w:val="nil"/>
              <w:left w:val="nil"/>
              <w:bottom w:val="single" w:sz="4" w:space="0" w:color="auto"/>
              <w:right w:val="single" w:sz="8" w:space="0" w:color="auto"/>
            </w:tcBorders>
            <w:shd w:val="clear" w:color="auto" w:fill="auto"/>
            <w:noWrap/>
            <w:vAlign w:val="center"/>
            <w:hideMark/>
          </w:tcPr>
          <w:p w14:paraId="57E3D448" w14:textId="77DA9EC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2 076 417</w:t>
            </w:r>
          </w:p>
        </w:tc>
        <w:tc>
          <w:tcPr>
            <w:tcW w:w="1146" w:type="dxa"/>
            <w:tcBorders>
              <w:top w:val="nil"/>
              <w:left w:val="single" w:sz="4" w:space="0" w:color="auto"/>
              <w:bottom w:val="single" w:sz="4" w:space="0" w:color="auto"/>
              <w:right w:val="nil"/>
            </w:tcBorders>
            <w:shd w:val="clear" w:color="auto" w:fill="auto"/>
            <w:noWrap/>
            <w:vAlign w:val="center"/>
            <w:hideMark/>
          </w:tcPr>
          <w:p w14:paraId="5A53B495" w14:textId="204CC49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1225" w:type="dxa"/>
            <w:tcBorders>
              <w:top w:val="nil"/>
              <w:left w:val="single" w:sz="8" w:space="0" w:color="auto"/>
              <w:bottom w:val="single" w:sz="4" w:space="0" w:color="auto"/>
              <w:right w:val="single" w:sz="8" w:space="0" w:color="auto"/>
            </w:tcBorders>
            <w:shd w:val="clear" w:color="auto" w:fill="auto"/>
            <w:noWrap/>
            <w:vAlign w:val="center"/>
            <w:hideMark/>
          </w:tcPr>
          <w:p w14:paraId="58439D95" w14:textId="654D894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23 418 248</w:t>
            </w:r>
          </w:p>
        </w:tc>
        <w:tc>
          <w:tcPr>
            <w:tcW w:w="947" w:type="dxa"/>
            <w:tcBorders>
              <w:top w:val="nil"/>
              <w:left w:val="nil"/>
              <w:bottom w:val="single" w:sz="4" w:space="0" w:color="auto"/>
              <w:right w:val="single" w:sz="4" w:space="0" w:color="auto"/>
            </w:tcBorders>
            <w:shd w:val="clear" w:color="auto" w:fill="auto"/>
            <w:noWrap/>
            <w:vAlign w:val="center"/>
            <w:hideMark/>
          </w:tcPr>
          <w:p w14:paraId="350134B9" w14:textId="08CF40AC"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9,73%</w:t>
            </w:r>
          </w:p>
        </w:tc>
        <w:tc>
          <w:tcPr>
            <w:tcW w:w="1071" w:type="dxa"/>
            <w:tcBorders>
              <w:top w:val="nil"/>
              <w:left w:val="single" w:sz="4" w:space="0" w:color="auto"/>
              <w:bottom w:val="single" w:sz="4" w:space="0" w:color="auto"/>
              <w:right w:val="single" w:sz="8" w:space="0" w:color="auto"/>
            </w:tcBorders>
            <w:shd w:val="clear" w:color="auto" w:fill="auto"/>
            <w:noWrap/>
            <w:vAlign w:val="center"/>
            <w:hideMark/>
          </w:tcPr>
          <w:p w14:paraId="0A505DA6" w14:textId="5ABC084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2 076 417</w:t>
            </w:r>
          </w:p>
        </w:tc>
      </w:tr>
      <w:tr w:rsidR="00B808B1" w:rsidRPr="00EB6D39" w14:paraId="633BB3C6" w14:textId="77777777" w:rsidTr="00B808B1">
        <w:trPr>
          <w:trHeight w:val="302"/>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9BA85C" w14:textId="77777777" w:rsidR="00B808B1" w:rsidRPr="00EB6D39" w:rsidRDefault="00B808B1" w:rsidP="00B808B1">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Iná zdravotná starostlivosť</w:t>
            </w:r>
          </w:p>
        </w:tc>
        <w:tc>
          <w:tcPr>
            <w:tcW w:w="1134" w:type="dxa"/>
            <w:tcBorders>
              <w:top w:val="nil"/>
              <w:left w:val="single" w:sz="4" w:space="0" w:color="auto"/>
              <w:bottom w:val="single" w:sz="8" w:space="0" w:color="auto"/>
              <w:right w:val="single" w:sz="4" w:space="0" w:color="auto"/>
            </w:tcBorders>
            <w:shd w:val="clear" w:color="auto" w:fill="auto"/>
            <w:noWrap/>
            <w:vAlign w:val="center"/>
            <w:hideMark/>
          </w:tcPr>
          <w:p w14:paraId="3796BA19" w14:textId="2214B6B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152 742 579</w:t>
            </w:r>
          </w:p>
        </w:tc>
        <w:tc>
          <w:tcPr>
            <w:tcW w:w="992" w:type="dxa"/>
            <w:tcBorders>
              <w:top w:val="nil"/>
              <w:left w:val="nil"/>
              <w:bottom w:val="single" w:sz="8" w:space="0" w:color="auto"/>
              <w:right w:val="single" w:sz="4" w:space="0" w:color="auto"/>
            </w:tcBorders>
            <w:shd w:val="clear" w:color="auto" w:fill="auto"/>
            <w:noWrap/>
            <w:vAlign w:val="center"/>
            <w:hideMark/>
          </w:tcPr>
          <w:p w14:paraId="2C6E2168" w14:textId="47D105B4"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w:t>
            </w:r>
          </w:p>
        </w:tc>
        <w:tc>
          <w:tcPr>
            <w:tcW w:w="992" w:type="dxa"/>
            <w:tcBorders>
              <w:top w:val="nil"/>
              <w:left w:val="nil"/>
              <w:bottom w:val="single" w:sz="8" w:space="0" w:color="auto"/>
              <w:right w:val="single" w:sz="4" w:space="0" w:color="auto"/>
            </w:tcBorders>
            <w:shd w:val="clear" w:color="auto" w:fill="auto"/>
            <w:noWrap/>
            <w:vAlign w:val="center"/>
            <w:hideMark/>
          </w:tcPr>
          <w:p w14:paraId="180461D5" w14:textId="53595E5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1 505 000</w:t>
            </w:r>
          </w:p>
        </w:tc>
        <w:tc>
          <w:tcPr>
            <w:tcW w:w="992" w:type="dxa"/>
            <w:tcBorders>
              <w:top w:val="nil"/>
              <w:left w:val="nil"/>
              <w:bottom w:val="single" w:sz="8" w:space="0" w:color="auto"/>
              <w:right w:val="single" w:sz="4" w:space="0" w:color="auto"/>
            </w:tcBorders>
            <w:shd w:val="clear" w:color="auto" w:fill="auto"/>
            <w:noWrap/>
            <w:vAlign w:val="center"/>
            <w:hideMark/>
          </w:tcPr>
          <w:p w14:paraId="7B29F40E" w14:textId="44361903"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0</w:t>
            </w:r>
          </w:p>
        </w:tc>
        <w:tc>
          <w:tcPr>
            <w:tcW w:w="993" w:type="dxa"/>
            <w:tcBorders>
              <w:top w:val="nil"/>
              <w:left w:val="nil"/>
              <w:bottom w:val="single" w:sz="8" w:space="0" w:color="auto"/>
              <w:right w:val="nil"/>
            </w:tcBorders>
            <w:shd w:val="clear" w:color="auto" w:fill="auto"/>
            <w:noWrap/>
            <w:vAlign w:val="center"/>
            <w:hideMark/>
          </w:tcPr>
          <w:p w14:paraId="1384A876" w14:textId="3B68F9D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 xml:space="preserve">20 000 000 </w:t>
            </w:r>
          </w:p>
        </w:tc>
        <w:tc>
          <w:tcPr>
            <w:tcW w:w="1225" w:type="dxa"/>
            <w:tcBorders>
              <w:top w:val="nil"/>
              <w:left w:val="single" w:sz="8" w:space="0" w:color="auto"/>
              <w:bottom w:val="single" w:sz="8" w:space="0" w:color="auto"/>
              <w:right w:val="single" w:sz="8" w:space="0" w:color="auto"/>
            </w:tcBorders>
            <w:shd w:val="clear" w:color="auto" w:fill="auto"/>
            <w:noWrap/>
            <w:vAlign w:val="center"/>
            <w:hideMark/>
          </w:tcPr>
          <w:p w14:paraId="633F7595" w14:textId="7B229EF1"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174 247 579</w:t>
            </w:r>
          </w:p>
        </w:tc>
        <w:tc>
          <w:tcPr>
            <w:tcW w:w="765" w:type="dxa"/>
            <w:tcBorders>
              <w:top w:val="nil"/>
              <w:left w:val="nil"/>
              <w:bottom w:val="single" w:sz="8" w:space="0" w:color="auto"/>
              <w:right w:val="single" w:sz="8" w:space="0" w:color="auto"/>
            </w:tcBorders>
            <w:shd w:val="clear" w:color="auto" w:fill="auto"/>
            <w:noWrap/>
            <w:vAlign w:val="center"/>
            <w:hideMark/>
          </w:tcPr>
          <w:p w14:paraId="148EB03F" w14:textId="6396A6B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14,08%</w:t>
            </w:r>
          </w:p>
        </w:tc>
        <w:tc>
          <w:tcPr>
            <w:tcW w:w="1071" w:type="dxa"/>
            <w:tcBorders>
              <w:top w:val="nil"/>
              <w:left w:val="nil"/>
              <w:bottom w:val="single" w:sz="8" w:space="0" w:color="auto"/>
              <w:right w:val="single" w:sz="8" w:space="0" w:color="auto"/>
            </w:tcBorders>
            <w:shd w:val="clear" w:color="auto" w:fill="auto"/>
            <w:noWrap/>
            <w:vAlign w:val="center"/>
            <w:hideMark/>
          </w:tcPr>
          <w:p w14:paraId="410C0F91" w14:textId="2B6FA427"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21 505 000</w:t>
            </w:r>
          </w:p>
        </w:tc>
        <w:tc>
          <w:tcPr>
            <w:tcW w:w="1146" w:type="dxa"/>
            <w:tcBorders>
              <w:top w:val="nil"/>
              <w:left w:val="single" w:sz="4" w:space="0" w:color="auto"/>
              <w:bottom w:val="single" w:sz="8" w:space="0" w:color="auto"/>
              <w:right w:val="nil"/>
            </w:tcBorders>
            <w:shd w:val="clear" w:color="auto" w:fill="auto"/>
            <w:noWrap/>
            <w:vAlign w:val="center"/>
            <w:hideMark/>
          </w:tcPr>
          <w:p w14:paraId="06BE0DBD" w14:textId="156AC12B"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-15 000 000</w:t>
            </w:r>
          </w:p>
        </w:tc>
        <w:tc>
          <w:tcPr>
            <w:tcW w:w="1225" w:type="dxa"/>
            <w:tcBorders>
              <w:top w:val="nil"/>
              <w:left w:val="single" w:sz="8" w:space="0" w:color="auto"/>
              <w:bottom w:val="single" w:sz="8" w:space="0" w:color="auto"/>
              <w:right w:val="single" w:sz="8" w:space="0" w:color="auto"/>
            </w:tcBorders>
            <w:shd w:val="clear" w:color="auto" w:fill="auto"/>
            <w:noWrap/>
            <w:vAlign w:val="center"/>
            <w:hideMark/>
          </w:tcPr>
          <w:p w14:paraId="4421B9E4" w14:textId="67C916A6"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159 247 579</w:t>
            </w:r>
          </w:p>
        </w:tc>
        <w:tc>
          <w:tcPr>
            <w:tcW w:w="947" w:type="dxa"/>
            <w:tcBorders>
              <w:top w:val="single" w:sz="4" w:space="0" w:color="auto"/>
              <w:left w:val="nil"/>
              <w:bottom w:val="single" w:sz="8" w:space="0" w:color="auto"/>
              <w:right w:val="single" w:sz="4" w:space="0" w:color="auto"/>
            </w:tcBorders>
            <w:shd w:val="clear" w:color="auto" w:fill="auto"/>
            <w:noWrap/>
            <w:vAlign w:val="center"/>
            <w:hideMark/>
          </w:tcPr>
          <w:p w14:paraId="5CE53C70" w14:textId="72853B6E"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4,26%</w:t>
            </w:r>
          </w:p>
        </w:tc>
        <w:tc>
          <w:tcPr>
            <w:tcW w:w="1071" w:type="dxa"/>
            <w:tcBorders>
              <w:top w:val="nil"/>
              <w:left w:val="nil"/>
              <w:bottom w:val="single" w:sz="8" w:space="0" w:color="auto"/>
              <w:right w:val="single" w:sz="8" w:space="0" w:color="auto"/>
            </w:tcBorders>
            <w:shd w:val="clear" w:color="auto" w:fill="auto"/>
            <w:noWrap/>
            <w:vAlign w:val="center"/>
            <w:hideMark/>
          </w:tcPr>
          <w:p w14:paraId="614C8202" w14:textId="21CE76D5" w:rsidR="00B808B1" w:rsidRPr="00B808B1" w:rsidRDefault="00B808B1" w:rsidP="00B808B1">
            <w:pPr>
              <w:spacing w:after="0" w:line="240" w:lineRule="auto"/>
              <w:jc w:val="right"/>
              <w:rPr>
                <w:rFonts w:ascii="Times New Roman" w:eastAsia="Times New Roman" w:hAnsi="Times New Roman" w:cs="Times New Roman"/>
                <w:kern w:val="0"/>
                <w:sz w:val="16"/>
                <w:szCs w:val="16"/>
                <w:lang w:eastAsia="sk-SK"/>
                <w14:ligatures w14:val="none"/>
              </w:rPr>
            </w:pPr>
            <w:r w:rsidRPr="00B808B1">
              <w:rPr>
                <w:rFonts w:ascii="Times New Roman" w:hAnsi="Times New Roman" w:cs="Times New Roman"/>
                <w:sz w:val="16"/>
                <w:szCs w:val="16"/>
              </w:rPr>
              <w:t>6 505 000</w:t>
            </w:r>
          </w:p>
        </w:tc>
      </w:tr>
    </w:tbl>
    <w:p w14:paraId="05A80EC9" w14:textId="77777777" w:rsidR="001039A1" w:rsidRPr="00EB6D39" w:rsidRDefault="001039A1" w:rsidP="002E5CA3">
      <w:pPr>
        <w:pStyle w:val="p1"/>
        <w:jc w:val="both"/>
        <w:rPr>
          <w:rFonts w:ascii="Times New Roman" w:eastAsiaTheme="minorEastAsia" w:hAnsi="Times New Roman"/>
          <w:color w:val="auto"/>
          <w:sz w:val="24"/>
          <w:szCs w:val="24"/>
          <w:lang w:eastAsia="en-US"/>
        </w:rPr>
        <w:sectPr w:rsidR="001039A1" w:rsidRPr="00EB6D39" w:rsidSect="001039A1">
          <w:pgSz w:w="16838" w:h="11906" w:orient="landscape"/>
          <w:pgMar w:top="1417" w:right="1417" w:bottom="1417" w:left="1417" w:header="708" w:footer="708" w:gutter="0"/>
          <w:cols w:space="708"/>
          <w:docGrid w:linePitch="360"/>
        </w:sectPr>
      </w:pPr>
    </w:p>
    <w:p w14:paraId="1FF7E976" w14:textId="799486B6" w:rsidR="004E3C40" w:rsidRPr="00EB6D39" w:rsidRDefault="009256F1" w:rsidP="002E5CA3">
      <w:pPr>
        <w:spacing w:after="0" w:line="240" w:lineRule="auto"/>
        <w:jc w:val="both"/>
        <w:rPr>
          <w:rFonts w:ascii="Times New Roman" w:eastAsiaTheme="minorEastAsia" w:hAnsi="Times New Roman" w:cs="Times New Roman"/>
          <w:b/>
          <w:bCs/>
        </w:rPr>
      </w:pPr>
      <w:bookmarkStart w:id="5" w:name="_Hlk192113578"/>
      <w:r w:rsidRPr="00EB6D39">
        <w:rPr>
          <w:rFonts w:ascii="Times New Roman" w:eastAsiaTheme="minorEastAsia" w:hAnsi="Times New Roman" w:cs="Times New Roman"/>
          <w:b/>
          <w:bCs/>
        </w:rPr>
        <w:lastRenderedPageBreak/>
        <w:t xml:space="preserve">Tabuľka </w:t>
      </w:r>
      <w:r w:rsidR="003F6971">
        <w:rPr>
          <w:rFonts w:ascii="Times New Roman" w:eastAsiaTheme="minorEastAsia" w:hAnsi="Times New Roman" w:cs="Times New Roman"/>
          <w:b/>
          <w:bCs/>
        </w:rPr>
        <w:t>10</w:t>
      </w:r>
      <w:r w:rsidRPr="00EB6D39">
        <w:rPr>
          <w:rFonts w:ascii="Times New Roman" w:eastAsiaTheme="minorEastAsia" w:hAnsi="Times New Roman" w:cs="Times New Roman"/>
          <w:b/>
          <w:bCs/>
        </w:rPr>
        <w:t>: Postup výpočtu celkových miezd pred zmenami LOZ, samotné vyvolané zmeny LOZ a celkové mzdy pre jednotlivé typy zdravotnej starostlivosti</w:t>
      </w:r>
    </w:p>
    <w:tbl>
      <w:tblPr>
        <w:tblW w:w="9827" w:type="dxa"/>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7"/>
        <w:gridCol w:w="1463"/>
        <w:gridCol w:w="1463"/>
        <w:gridCol w:w="1510"/>
        <w:gridCol w:w="1364"/>
        <w:gridCol w:w="1330"/>
      </w:tblGrid>
      <w:tr w:rsidR="00EB6D39" w:rsidRPr="00EB6D39" w14:paraId="054AE6DF" w14:textId="77777777" w:rsidTr="00B710A6">
        <w:trPr>
          <w:trHeight w:val="1205"/>
        </w:trPr>
        <w:tc>
          <w:tcPr>
            <w:tcW w:w="2697" w:type="dxa"/>
            <w:shd w:val="clear" w:color="auto" w:fill="auto"/>
            <w:vAlign w:val="center"/>
          </w:tcPr>
          <w:p w14:paraId="42D9C63A" w14:textId="2D4ABC8F"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hAnsi="Times New Roman" w:cs="Times New Roman"/>
                <w:b/>
                <w:bCs/>
                <w:sz w:val="18"/>
                <w:szCs w:val="18"/>
              </w:rPr>
              <w:t xml:space="preserve">Typy zdravotnej starostlivosti </w:t>
            </w:r>
          </w:p>
        </w:tc>
        <w:tc>
          <w:tcPr>
            <w:tcW w:w="1463" w:type="dxa"/>
            <w:shd w:val="clear" w:color="auto" w:fill="auto"/>
            <w:vAlign w:val="center"/>
            <w:hideMark/>
          </w:tcPr>
          <w:p w14:paraId="4C6D4D99" w14:textId="774F937B"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Mzdy ambulantných zdravotníckych pracovníkov pred zmenami LOZ</w:t>
            </w:r>
          </w:p>
        </w:tc>
        <w:tc>
          <w:tcPr>
            <w:tcW w:w="1463" w:type="dxa"/>
            <w:shd w:val="clear" w:color="auto" w:fill="auto"/>
            <w:vAlign w:val="center"/>
            <w:hideMark/>
          </w:tcPr>
          <w:p w14:paraId="1846B57C" w14:textId="1AA3492B"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Mzdy ústavných zdravotníckych pracovníkov pred zmenami LOZ</w:t>
            </w:r>
          </w:p>
        </w:tc>
        <w:tc>
          <w:tcPr>
            <w:tcW w:w="1510" w:type="dxa"/>
            <w:shd w:val="clear" w:color="auto" w:fill="auto"/>
            <w:vAlign w:val="center"/>
            <w:hideMark/>
          </w:tcPr>
          <w:p w14:paraId="6BAD13C9" w14:textId="1CB8F213"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Mzdy nezdravotníckych  zamestnancov pred zmenami LOZ</w:t>
            </w:r>
          </w:p>
        </w:tc>
        <w:tc>
          <w:tcPr>
            <w:tcW w:w="1364" w:type="dxa"/>
            <w:shd w:val="clear" w:color="auto" w:fill="auto"/>
            <w:vAlign w:val="center"/>
            <w:hideMark/>
          </w:tcPr>
          <w:p w14:paraId="69DCF9A2" w14:textId="7968BA20"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Mzdy zdravotníckych pracovníkov po zmenách LOZ zo 6,4% na 9,7% - doplatok</w:t>
            </w:r>
          </w:p>
        </w:tc>
        <w:tc>
          <w:tcPr>
            <w:tcW w:w="1330" w:type="dxa"/>
            <w:shd w:val="clear" w:color="auto" w:fill="auto"/>
            <w:vAlign w:val="center"/>
            <w:hideMark/>
          </w:tcPr>
          <w:p w14:paraId="5D61A02E" w14:textId="77777777" w:rsidR="00DC0EB5" w:rsidRPr="00EB6D39" w:rsidRDefault="00DC0EB5" w:rsidP="00DC0EB5">
            <w:pPr>
              <w:spacing w:after="0" w:line="240" w:lineRule="auto"/>
              <w:jc w:val="center"/>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Celkové mzdy</w:t>
            </w:r>
          </w:p>
        </w:tc>
      </w:tr>
      <w:tr w:rsidR="00EB6D39" w:rsidRPr="00EB6D39" w14:paraId="5E35A529" w14:textId="77777777" w:rsidTr="00B710A6">
        <w:trPr>
          <w:trHeight w:val="260"/>
        </w:trPr>
        <w:tc>
          <w:tcPr>
            <w:tcW w:w="2697" w:type="dxa"/>
            <w:shd w:val="clear" w:color="auto" w:fill="auto"/>
            <w:vAlign w:val="center"/>
          </w:tcPr>
          <w:p w14:paraId="21AC5FB3" w14:textId="27308853" w:rsidR="00DC0EB5" w:rsidRPr="00EB6D39" w:rsidRDefault="00DC0EB5" w:rsidP="00DC0EB5">
            <w:pPr>
              <w:spacing w:after="0" w:line="240" w:lineRule="auto"/>
              <w:rPr>
                <w:rFonts w:ascii="Times New Roman" w:eastAsia="Times New Roman" w:hAnsi="Times New Roman" w:cs="Times New Roman"/>
                <w:b/>
                <w:bCs/>
                <w:kern w:val="0"/>
                <w:sz w:val="18"/>
                <w:szCs w:val="18"/>
                <w:lang w:eastAsia="sk-SK"/>
                <w14:ligatures w14:val="none"/>
              </w:rPr>
            </w:pPr>
            <w:r w:rsidRPr="00EB6D39">
              <w:rPr>
                <w:rFonts w:ascii="Times New Roman" w:hAnsi="Times New Roman" w:cs="Times New Roman"/>
                <w:b/>
                <w:bCs/>
                <w:sz w:val="18"/>
                <w:szCs w:val="18"/>
              </w:rPr>
              <w:t>Zdravotná starostlivosť</w:t>
            </w:r>
          </w:p>
        </w:tc>
        <w:tc>
          <w:tcPr>
            <w:tcW w:w="1463" w:type="dxa"/>
            <w:shd w:val="clear" w:color="auto" w:fill="auto"/>
            <w:noWrap/>
            <w:vAlign w:val="bottom"/>
            <w:hideMark/>
          </w:tcPr>
          <w:p w14:paraId="2587AA8B" w14:textId="37967251" w:rsidR="00DC0EB5" w:rsidRPr="00EB6D39" w:rsidRDefault="00DC0EB5" w:rsidP="00DC0EB5">
            <w:pPr>
              <w:spacing w:after="0" w:line="240" w:lineRule="auto"/>
              <w:jc w:val="right"/>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105 647 168</w:t>
            </w:r>
          </w:p>
        </w:tc>
        <w:tc>
          <w:tcPr>
            <w:tcW w:w="1463" w:type="dxa"/>
            <w:shd w:val="clear" w:color="auto" w:fill="auto"/>
            <w:noWrap/>
            <w:vAlign w:val="bottom"/>
            <w:hideMark/>
          </w:tcPr>
          <w:p w14:paraId="60A64C71" w14:textId="77777777" w:rsidR="00DC0EB5" w:rsidRPr="00EB6D39" w:rsidRDefault="00DC0EB5" w:rsidP="00DC0EB5">
            <w:pPr>
              <w:spacing w:after="0" w:line="240" w:lineRule="auto"/>
              <w:jc w:val="right"/>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177 200 420</w:t>
            </w:r>
          </w:p>
        </w:tc>
        <w:tc>
          <w:tcPr>
            <w:tcW w:w="1510" w:type="dxa"/>
            <w:shd w:val="clear" w:color="auto" w:fill="auto"/>
            <w:noWrap/>
            <w:vAlign w:val="bottom"/>
            <w:hideMark/>
          </w:tcPr>
          <w:p w14:paraId="66CF82DC" w14:textId="77777777" w:rsidR="00DC0EB5" w:rsidRPr="00EB6D39" w:rsidRDefault="00DC0EB5" w:rsidP="00DC0EB5">
            <w:pPr>
              <w:spacing w:after="0" w:line="240" w:lineRule="auto"/>
              <w:jc w:val="right"/>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51 296 629</w:t>
            </w:r>
          </w:p>
        </w:tc>
        <w:tc>
          <w:tcPr>
            <w:tcW w:w="1364" w:type="dxa"/>
            <w:shd w:val="clear" w:color="auto" w:fill="auto"/>
            <w:noWrap/>
            <w:vAlign w:val="bottom"/>
            <w:hideMark/>
          </w:tcPr>
          <w:p w14:paraId="41DC1CC5" w14:textId="77777777" w:rsidR="00DC0EB5" w:rsidRPr="00EB6D39" w:rsidRDefault="00DC0EB5" w:rsidP="00DC0EB5">
            <w:pPr>
              <w:spacing w:after="0" w:line="240" w:lineRule="auto"/>
              <w:jc w:val="right"/>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54 847 373</w:t>
            </w:r>
          </w:p>
        </w:tc>
        <w:tc>
          <w:tcPr>
            <w:tcW w:w="1330" w:type="dxa"/>
            <w:shd w:val="clear" w:color="auto" w:fill="auto"/>
            <w:noWrap/>
            <w:vAlign w:val="bottom"/>
            <w:hideMark/>
          </w:tcPr>
          <w:p w14:paraId="34488C28" w14:textId="77777777" w:rsidR="00DC0EB5" w:rsidRPr="00EB6D39" w:rsidRDefault="00DC0EB5" w:rsidP="00DC0EB5">
            <w:pPr>
              <w:spacing w:after="0" w:line="240" w:lineRule="auto"/>
              <w:jc w:val="right"/>
              <w:rPr>
                <w:rFonts w:ascii="Times New Roman" w:eastAsia="Times New Roman" w:hAnsi="Times New Roman" w:cs="Times New Roman"/>
                <w:b/>
                <w:bCs/>
                <w:kern w:val="0"/>
                <w:sz w:val="18"/>
                <w:szCs w:val="18"/>
                <w:lang w:eastAsia="sk-SK"/>
                <w14:ligatures w14:val="none"/>
              </w:rPr>
            </w:pPr>
            <w:r w:rsidRPr="00EB6D39">
              <w:rPr>
                <w:rFonts w:ascii="Times New Roman" w:eastAsia="Times New Roman" w:hAnsi="Times New Roman" w:cs="Times New Roman"/>
                <w:b/>
                <w:bCs/>
                <w:kern w:val="0"/>
                <w:sz w:val="18"/>
                <w:szCs w:val="18"/>
                <w:lang w:eastAsia="sk-SK"/>
                <w14:ligatures w14:val="none"/>
              </w:rPr>
              <w:t>388 991 590</w:t>
            </w:r>
          </w:p>
        </w:tc>
      </w:tr>
      <w:tr w:rsidR="00EB6D39" w:rsidRPr="00EB6D39" w14:paraId="3FCBE00F" w14:textId="77777777" w:rsidTr="00B710A6">
        <w:trPr>
          <w:trHeight w:val="260"/>
        </w:trPr>
        <w:tc>
          <w:tcPr>
            <w:tcW w:w="2697" w:type="dxa"/>
            <w:shd w:val="clear" w:color="auto" w:fill="auto"/>
            <w:vAlign w:val="bottom"/>
          </w:tcPr>
          <w:p w14:paraId="6C630E4E" w14:textId="0BEAB1D8"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Lieky a dietetické potraviny</w:t>
            </w:r>
          </w:p>
        </w:tc>
        <w:tc>
          <w:tcPr>
            <w:tcW w:w="1463" w:type="dxa"/>
            <w:shd w:val="clear" w:color="auto" w:fill="auto"/>
            <w:noWrap/>
            <w:vAlign w:val="bottom"/>
            <w:hideMark/>
          </w:tcPr>
          <w:p w14:paraId="4B0DEC70" w14:textId="6CE01A6F"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703456A8" w14:textId="77777777"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22ED604C" w14:textId="77777777"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64" w:type="dxa"/>
            <w:shd w:val="clear" w:color="auto" w:fill="auto"/>
            <w:noWrap/>
            <w:vAlign w:val="bottom"/>
            <w:hideMark/>
          </w:tcPr>
          <w:p w14:paraId="0794016E" w14:textId="77777777"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30" w:type="dxa"/>
            <w:shd w:val="clear" w:color="auto" w:fill="auto"/>
            <w:noWrap/>
            <w:vAlign w:val="bottom"/>
            <w:hideMark/>
          </w:tcPr>
          <w:p w14:paraId="540786D1" w14:textId="77777777"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r>
      <w:tr w:rsidR="00EB6D39" w:rsidRPr="00EB6D39" w14:paraId="3D4D995C" w14:textId="77777777" w:rsidTr="00B710A6">
        <w:trPr>
          <w:trHeight w:val="260"/>
        </w:trPr>
        <w:tc>
          <w:tcPr>
            <w:tcW w:w="2697" w:type="dxa"/>
            <w:shd w:val="clear" w:color="auto" w:fill="auto"/>
            <w:vAlign w:val="bottom"/>
          </w:tcPr>
          <w:p w14:paraId="48AC0105" w14:textId="45B56F34"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Zdravotnícke pomôcky</w:t>
            </w:r>
          </w:p>
        </w:tc>
        <w:tc>
          <w:tcPr>
            <w:tcW w:w="1463" w:type="dxa"/>
            <w:shd w:val="clear" w:color="auto" w:fill="auto"/>
            <w:noWrap/>
            <w:vAlign w:val="bottom"/>
            <w:hideMark/>
          </w:tcPr>
          <w:p w14:paraId="0B5F7B04" w14:textId="2F28BB73"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68FEFA94"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18DFED77"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64" w:type="dxa"/>
            <w:shd w:val="clear" w:color="auto" w:fill="auto"/>
            <w:noWrap/>
            <w:vAlign w:val="bottom"/>
            <w:hideMark/>
          </w:tcPr>
          <w:p w14:paraId="61A59EB5"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30" w:type="dxa"/>
            <w:shd w:val="clear" w:color="auto" w:fill="auto"/>
            <w:noWrap/>
            <w:vAlign w:val="bottom"/>
            <w:hideMark/>
          </w:tcPr>
          <w:p w14:paraId="29C6739A"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r>
      <w:tr w:rsidR="00EB6D39" w:rsidRPr="00EB6D39" w14:paraId="489EFAFF" w14:textId="77777777" w:rsidTr="00B710A6">
        <w:trPr>
          <w:trHeight w:val="260"/>
        </w:trPr>
        <w:tc>
          <w:tcPr>
            <w:tcW w:w="2697" w:type="dxa"/>
            <w:shd w:val="clear" w:color="auto" w:fill="auto"/>
            <w:vAlign w:val="bottom"/>
          </w:tcPr>
          <w:p w14:paraId="3EFAF82D" w14:textId="5C77FF85"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 xml:space="preserve">Ústavná zdravotná starostlivosť </w:t>
            </w:r>
          </w:p>
        </w:tc>
        <w:tc>
          <w:tcPr>
            <w:tcW w:w="1463" w:type="dxa"/>
            <w:shd w:val="clear" w:color="auto" w:fill="auto"/>
            <w:noWrap/>
            <w:vAlign w:val="bottom"/>
            <w:hideMark/>
          </w:tcPr>
          <w:p w14:paraId="65014406" w14:textId="09AFF948"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7C9B7FB4"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173 439 560</w:t>
            </w:r>
          </w:p>
        </w:tc>
        <w:tc>
          <w:tcPr>
            <w:tcW w:w="1510" w:type="dxa"/>
            <w:shd w:val="clear" w:color="auto" w:fill="auto"/>
            <w:noWrap/>
            <w:vAlign w:val="bottom"/>
            <w:hideMark/>
          </w:tcPr>
          <w:p w14:paraId="747F2150"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25 027 010</w:t>
            </w:r>
          </w:p>
        </w:tc>
        <w:tc>
          <w:tcPr>
            <w:tcW w:w="1364" w:type="dxa"/>
            <w:shd w:val="clear" w:color="auto" w:fill="auto"/>
            <w:noWrap/>
            <w:vAlign w:val="bottom"/>
            <w:hideMark/>
          </w:tcPr>
          <w:p w14:paraId="4C2DDCE4"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45 596 873</w:t>
            </w:r>
          </w:p>
        </w:tc>
        <w:tc>
          <w:tcPr>
            <w:tcW w:w="1330" w:type="dxa"/>
            <w:shd w:val="clear" w:color="auto" w:fill="auto"/>
            <w:noWrap/>
            <w:vAlign w:val="bottom"/>
            <w:hideMark/>
          </w:tcPr>
          <w:p w14:paraId="16800726"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244 063 443</w:t>
            </w:r>
          </w:p>
        </w:tc>
      </w:tr>
      <w:tr w:rsidR="00EB6D39" w:rsidRPr="00EB6D39" w14:paraId="32C3DC7A" w14:textId="77777777" w:rsidTr="00B710A6">
        <w:trPr>
          <w:trHeight w:val="300"/>
        </w:trPr>
        <w:tc>
          <w:tcPr>
            <w:tcW w:w="2697" w:type="dxa"/>
            <w:shd w:val="clear" w:color="auto" w:fill="auto"/>
            <w:vAlign w:val="bottom"/>
          </w:tcPr>
          <w:p w14:paraId="4291D443" w14:textId="4A0B2254"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Všeobecná ambulantná zdravotná starostlivosť</w:t>
            </w:r>
          </w:p>
        </w:tc>
        <w:tc>
          <w:tcPr>
            <w:tcW w:w="1463" w:type="dxa"/>
            <w:shd w:val="clear" w:color="auto" w:fill="auto"/>
            <w:noWrap/>
            <w:vAlign w:val="bottom"/>
            <w:hideMark/>
          </w:tcPr>
          <w:p w14:paraId="7833C342" w14:textId="2637B7C5"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17 914 509</w:t>
            </w:r>
          </w:p>
        </w:tc>
        <w:tc>
          <w:tcPr>
            <w:tcW w:w="1463" w:type="dxa"/>
            <w:shd w:val="clear" w:color="auto" w:fill="auto"/>
            <w:noWrap/>
            <w:vAlign w:val="bottom"/>
            <w:hideMark/>
          </w:tcPr>
          <w:p w14:paraId="74D6A9F1"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6A428333"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4 131 995</w:t>
            </w:r>
          </w:p>
        </w:tc>
        <w:tc>
          <w:tcPr>
            <w:tcW w:w="1364" w:type="dxa"/>
            <w:shd w:val="clear" w:color="auto" w:fill="auto"/>
            <w:noWrap/>
            <w:vAlign w:val="bottom"/>
            <w:hideMark/>
          </w:tcPr>
          <w:p w14:paraId="14B03716"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888 064</w:t>
            </w:r>
          </w:p>
        </w:tc>
        <w:tc>
          <w:tcPr>
            <w:tcW w:w="1330" w:type="dxa"/>
            <w:shd w:val="clear" w:color="auto" w:fill="auto"/>
            <w:noWrap/>
            <w:vAlign w:val="bottom"/>
            <w:hideMark/>
          </w:tcPr>
          <w:p w14:paraId="473E0EA0"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22 934 568</w:t>
            </w:r>
          </w:p>
        </w:tc>
      </w:tr>
      <w:tr w:rsidR="00EB6D39" w:rsidRPr="00EB6D39" w14:paraId="25CC5570" w14:textId="77777777" w:rsidTr="00B710A6">
        <w:trPr>
          <w:trHeight w:val="270"/>
        </w:trPr>
        <w:tc>
          <w:tcPr>
            <w:tcW w:w="2697" w:type="dxa"/>
            <w:shd w:val="clear" w:color="auto" w:fill="auto"/>
            <w:vAlign w:val="bottom"/>
          </w:tcPr>
          <w:p w14:paraId="71A1E57E" w14:textId="2830BF58"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Spoločné vyšetrovacie a liečebné zložky</w:t>
            </w:r>
          </w:p>
        </w:tc>
        <w:tc>
          <w:tcPr>
            <w:tcW w:w="1463" w:type="dxa"/>
            <w:shd w:val="clear" w:color="auto" w:fill="auto"/>
            <w:noWrap/>
            <w:vAlign w:val="bottom"/>
            <w:hideMark/>
          </w:tcPr>
          <w:p w14:paraId="1EEE11AF" w14:textId="6F88E40E"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19 674 175</w:t>
            </w:r>
          </w:p>
        </w:tc>
        <w:tc>
          <w:tcPr>
            <w:tcW w:w="1463" w:type="dxa"/>
            <w:shd w:val="clear" w:color="auto" w:fill="auto"/>
            <w:noWrap/>
            <w:vAlign w:val="bottom"/>
            <w:hideMark/>
          </w:tcPr>
          <w:p w14:paraId="2E29267D"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7BB660EC"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4 514 103</w:t>
            </w:r>
          </w:p>
        </w:tc>
        <w:tc>
          <w:tcPr>
            <w:tcW w:w="1364" w:type="dxa"/>
            <w:shd w:val="clear" w:color="auto" w:fill="auto"/>
            <w:noWrap/>
            <w:vAlign w:val="bottom"/>
            <w:hideMark/>
          </w:tcPr>
          <w:p w14:paraId="1EB143EF"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974 383</w:t>
            </w:r>
          </w:p>
        </w:tc>
        <w:tc>
          <w:tcPr>
            <w:tcW w:w="1330" w:type="dxa"/>
            <w:shd w:val="clear" w:color="auto" w:fill="auto"/>
            <w:noWrap/>
            <w:vAlign w:val="bottom"/>
            <w:hideMark/>
          </w:tcPr>
          <w:p w14:paraId="1187E797"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25 162 661</w:t>
            </w:r>
          </w:p>
        </w:tc>
      </w:tr>
      <w:tr w:rsidR="00EB6D39" w:rsidRPr="00EB6D39" w14:paraId="484CB51C" w14:textId="77777777" w:rsidTr="00B710A6">
        <w:trPr>
          <w:trHeight w:val="260"/>
        </w:trPr>
        <w:tc>
          <w:tcPr>
            <w:tcW w:w="2697" w:type="dxa"/>
            <w:shd w:val="clear" w:color="auto" w:fill="auto"/>
            <w:vAlign w:val="bottom"/>
          </w:tcPr>
          <w:p w14:paraId="49C5594B" w14:textId="712960BE"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Špecializovaná ambulantná zdravotná starostlivosť</w:t>
            </w:r>
          </w:p>
        </w:tc>
        <w:tc>
          <w:tcPr>
            <w:tcW w:w="1463" w:type="dxa"/>
            <w:shd w:val="clear" w:color="auto" w:fill="auto"/>
            <w:noWrap/>
            <w:vAlign w:val="bottom"/>
            <w:hideMark/>
          </w:tcPr>
          <w:p w14:paraId="2AF66B67" w14:textId="6AEE0F14"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53 660 689</w:t>
            </w:r>
          </w:p>
        </w:tc>
        <w:tc>
          <w:tcPr>
            <w:tcW w:w="1463" w:type="dxa"/>
            <w:shd w:val="clear" w:color="auto" w:fill="auto"/>
            <w:noWrap/>
            <w:vAlign w:val="bottom"/>
            <w:hideMark/>
          </w:tcPr>
          <w:p w14:paraId="4A830D5B"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20A44C14"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12 535 204</w:t>
            </w:r>
          </w:p>
        </w:tc>
        <w:tc>
          <w:tcPr>
            <w:tcW w:w="1364" w:type="dxa"/>
            <w:shd w:val="clear" w:color="auto" w:fill="auto"/>
            <w:noWrap/>
            <w:vAlign w:val="bottom"/>
            <w:hideMark/>
          </w:tcPr>
          <w:p w14:paraId="5A0763F2"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2 666 162</w:t>
            </w:r>
          </w:p>
        </w:tc>
        <w:tc>
          <w:tcPr>
            <w:tcW w:w="1330" w:type="dxa"/>
            <w:shd w:val="clear" w:color="auto" w:fill="auto"/>
            <w:noWrap/>
            <w:vAlign w:val="bottom"/>
            <w:hideMark/>
          </w:tcPr>
          <w:p w14:paraId="68921C18"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68 862 055</w:t>
            </w:r>
          </w:p>
        </w:tc>
      </w:tr>
      <w:tr w:rsidR="00EB6D39" w:rsidRPr="00EB6D39" w14:paraId="761A0C97" w14:textId="77777777" w:rsidTr="00B710A6">
        <w:trPr>
          <w:trHeight w:val="260"/>
        </w:trPr>
        <w:tc>
          <w:tcPr>
            <w:tcW w:w="2697" w:type="dxa"/>
            <w:shd w:val="clear" w:color="auto" w:fill="auto"/>
            <w:vAlign w:val="bottom"/>
          </w:tcPr>
          <w:p w14:paraId="0A7DE9B4" w14:textId="5B7147B1"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Ambulantná pohotovostná služba</w:t>
            </w:r>
          </w:p>
        </w:tc>
        <w:tc>
          <w:tcPr>
            <w:tcW w:w="1463" w:type="dxa"/>
            <w:shd w:val="clear" w:color="auto" w:fill="auto"/>
            <w:noWrap/>
            <w:vAlign w:val="bottom"/>
            <w:hideMark/>
          </w:tcPr>
          <w:p w14:paraId="41CCDEB2" w14:textId="32FF62CC"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677 158</w:t>
            </w:r>
          </w:p>
        </w:tc>
        <w:tc>
          <w:tcPr>
            <w:tcW w:w="1463" w:type="dxa"/>
            <w:shd w:val="clear" w:color="auto" w:fill="auto"/>
            <w:noWrap/>
            <w:vAlign w:val="bottom"/>
            <w:hideMark/>
          </w:tcPr>
          <w:p w14:paraId="6B881F3D"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6023596D"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158 855</w:t>
            </w:r>
          </w:p>
        </w:tc>
        <w:tc>
          <w:tcPr>
            <w:tcW w:w="1364" w:type="dxa"/>
            <w:shd w:val="clear" w:color="auto" w:fill="auto"/>
            <w:noWrap/>
            <w:vAlign w:val="bottom"/>
            <w:hideMark/>
          </w:tcPr>
          <w:p w14:paraId="472A8496"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33 671</w:t>
            </w:r>
          </w:p>
        </w:tc>
        <w:tc>
          <w:tcPr>
            <w:tcW w:w="1330" w:type="dxa"/>
            <w:shd w:val="clear" w:color="auto" w:fill="auto"/>
            <w:noWrap/>
            <w:vAlign w:val="bottom"/>
            <w:hideMark/>
          </w:tcPr>
          <w:p w14:paraId="452D4E1A"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869 684</w:t>
            </w:r>
          </w:p>
        </w:tc>
      </w:tr>
      <w:tr w:rsidR="00EB6D39" w:rsidRPr="00EB6D39" w14:paraId="6874E910" w14:textId="77777777" w:rsidTr="00B710A6">
        <w:trPr>
          <w:trHeight w:val="260"/>
        </w:trPr>
        <w:tc>
          <w:tcPr>
            <w:tcW w:w="2697" w:type="dxa"/>
            <w:shd w:val="clear" w:color="auto" w:fill="auto"/>
            <w:vAlign w:val="bottom"/>
          </w:tcPr>
          <w:p w14:paraId="66C6AEE2" w14:textId="23D83615"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Záchranná zdravotná služba</w:t>
            </w:r>
          </w:p>
        </w:tc>
        <w:tc>
          <w:tcPr>
            <w:tcW w:w="1463" w:type="dxa"/>
            <w:shd w:val="clear" w:color="auto" w:fill="auto"/>
            <w:noWrap/>
            <w:vAlign w:val="bottom"/>
            <w:hideMark/>
          </w:tcPr>
          <w:p w14:paraId="6061F231" w14:textId="1B7B5DB5"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12 288 729</w:t>
            </w:r>
          </w:p>
        </w:tc>
        <w:tc>
          <w:tcPr>
            <w:tcW w:w="1463" w:type="dxa"/>
            <w:shd w:val="clear" w:color="auto" w:fill="auto"/>
            <w:noWrap/>
            <w:vAlign w:val="bottom"/>
            <w:hideMark/>
          </w:tcPr>
          <w:p w14:paraId="28952D06"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7DED163E"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2 462 238</w:t>
            </w:r>
          </w:p>
        </w:tc>
        <w:tc>
          <w:tcPr>
            <w:tcW w:w="1364" w:type="dxa"/>
            <w:shd w:val="clear" w:color="auto" w:fill="auto"/>
            <w:noWrap/>
            <w:vAlign w:val="bottom"/>
            <w:hideMark/>
          </w:tcPr>
          <w:p w14:paraId="0B7B4B47"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3 257 122</w:t>
            </w:r>
          </w:p>
        </w:tc>
        <w:tc>
          <w:tcPr>
            <w:tcW w:w="1330" w:type="dxa"/>
            <w:shd w:val="clear" w:color="auto" w:fill="auto"/>
            <w:noWrap/>
            <w:vAlign w:val="bottom"/>
            <w:hideMark/>
          </w:tcPr>
          <w:p w14:paraId="140394EC"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18 008 089</w:t>
            </w:r>
          </w:p>
        </w:tc>
      </w:tr>
      <w:tr w:rsidR="00EB6D39" w:rsidRPr="00EB6D39" w14:paraId="0200A374" w14:textId="77777777" w:rsidTr="00B710A6">
        <w:trPr>
          <w:trHeight w:val="260"/>
        </w:trPr>
        <w:tc>
          <w:tcPr>
            <w:tcW w:w="2697" w:type="dxa"/>
            <w:shd w:val="clear" w:color="auto" w:fill="auto"/>
            <w:vAlign w:val="bottom"/>
          </w:tcPr>
          <w:p w14:paraId="229EC4FA" w14:textId="389F82DF"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Kúpeľná starostlivosť</w:t>
            </w:r>
          </w:p>
        </w:tc>
        <w:tc>
          <w:tcPr>
            <w:tcW w:w="1463" w:type="dxa"/>
            <w:shd w:val="clear" w:color="auto" w:fill="auto"/>
            <w:noWrap/>
            <w:vAlign w:val="bottom"/>
            <w:hideMark/>
          </w:tcPr>
          <w:p w14:paraId="681E0804" w14:textId="6F3014E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63266F4C"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3 760 860</w:t>
            </w:r>
          </w:p>
        </w:tc>
        <w:tc>
          <w:tcPr>
            <w:tcW w:w="1510" w:type="dxa"/>
            <w:shd w:val="clear" w:color="auto" w:fill="auto"/>
            <w:noWrap/>
            <w:vAlign w:val="bottom"/>
            <w:hideMark/>
          </w:tcPr>
          <w:p w14:paraId="54889B63"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577 667</w:t>
            </w:r>
          </w:p>
        </w:tc>
        <w:tc>
          <w:tcPr>
            <w:tcW w:w="1364" w:type="dxa"/>
            <w:shd w:val="clear" w:color="auto" w:fill="auto"/>
            <w:noWrap/>
            <w:vAlign w:val="bottom"/>
            <w:hideMark/>
          </w:tcPr>
          <w:p w14:paraId="17BE0A92"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990 064</w:t>
            </w:r>
          </w:p>
        </w:tc>
        <w:tc>
          <w:tcPr>
            <w:tcW w:w="1330" w:type="dxa"/>
            <w:shd w:val="clear" w:color="auto" w:fill="auto"/>
            <w:noWrap/>
            <w:vAlign w:val="bottom"/>
            <w:hideMark/>
          </w:tcPr>
          <w:p w14:paraId="70A84233"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5 328 591</w:t>
            </w:r>
          </w:p>
        </w:tc>
      </w:tr>
      <w:tr w:rsidR="00EB6D39" w:rsidRPr="00EB6D39" w14:paraId="2CB9C694" w14:textId="77777777" w:rsidTr="00B710A6">
        <w:trPr>
          <w:trHeight w:val="260"/>
        </w:trPr>
        <w:tc>
          <w:tcPr>
            <w:tcW w:w="2697" w:type="dxa"/>
            <w:shd w:val="clear" w:color="auto" w:fill="auto"/>
            <w:vAlign w:val="bottom"/>
          </w:tcPr>
          <w:p w14:paraId="10ACD27E" w14:textId="5A6C642D"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Dopravná zdravotná služba</w:t>
            </w:r>
          </w:p>
        </w:tc>
        <w:tc>
          <w:tcPr>
            <w:tcW w:w="1463" w:type="dxa"/>
            <w:shd w:val="clear" w:color="auto" w:fill="auto"/>
            <w:noWrap/>
            <w:vAlign w:val="bottom"/>
            <w:hideMark/>
          </w:tcPr>
          <w:p w14:paraId="6D8B559B" w14:textId="3FF76364"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15600B8E"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20A814E3"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1 697 918</w:t>
            </w:r>
          </w:p>
        </w:tc>
        <w:tc>
          <w:tcPr>
            <w:tcW w:w="1364" w:type="dxa"/>
            <w:shd w:val="clear" w:color="auto" w:fill="auto"/>
            <w:noWrap/>
            <w:vAlign w:val="bottom"/>
            <w:hideMark/>
          </w:tcPr>
          <w:p w14:paraId="6B361B2F"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65 164</w:t>
            </w:r>
          </w:p>
        </w:tc>
        <w:tc>
          <w:tcPr>
            <w:tcW w:w="1330" w:type="dxa"/>
            <w:shd w:val="clear" w:color="auto" w:fill="auto"/>
            <w:noWrap/>
            <w:vAlign w:val="bottom"/>
            <w:hideMark/>
          </w:tcPr>
          <w:p w14:paraId="15BDC84C"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1 763 082</w:t>
            </w:r>
          </w:p>
        </w:tc>
      </w:tr>
      <w:tr w:rsidR="00EB6D39" w:rsidRPr="00EB6D39" w14:paraId="5B0DF11E" w14:textId="77777777" w:rsidTr="00B710A6">
        <w:trPr>
          <w:trHeight w:val="260"/>
        </w:trPr>
        <w:tc>
          <w:tcPr>
            <w:tcW w:w="2697" w:type="dxa"/>
            <w:shd w:val="clear" w:color="auto" w:fill="auto"/>
            <w:vAlign w:val="bottom"/>
          </w:tcPr>
          <w:p w14:paraId="0096C0E0" w14:textId="0B4BF0E9"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Vrtuľníková a letecká  záchranná zdravotná služba</w:t>
            </w:r>
          </w:p>
        </w:tc>
        <w:tc>
          <w:tcPr>
            <w:tcW w:w="1463" w:type="dxa"/>
            <w:shd w:val="clear" w:color="auto" w:fill="auto"/>
            <w:noWrap/>
            <w:vAlign w:val="bottom"/>
            <w:hideMark/>
          </w:tcPr>
          <w:p w14:paraId="6E03F3BB" w14:textId="5113D31C"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1 431 908</w:t>
            </w:r>
          </w:p>
        </w:tc>
        <w:tc>
          <w:tcPr>
            <w:tcW w:w="1463" w:type="dxa"/>
            <w:shd w:val="clear" w:color="auto" w:fill="auto"/>
            <w:noWrap/>
            <w:vAlign w:val="bottom"/>
            <w:hideMark/>
          </w:tcPr>
          <w:p w14:paraId="28AA3037"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24087B62"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191 639</w:t>
            </w:r>
          </w:p>
        </w:tc>
        <w:tc>
          <w:tcPr>
            <w:tcW w:w="1364" w:type="dxa"/>
            <w:shd w:val="clear" w:color="auto" w:fill="auto"/>
            <w:noWrap/>
            <w:vAlign w:val="bottom"/>
            <w:hideMark/>
          </w:tcPr>
          <w:p w14:paraId="74722A6D"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375 870</w:t>
            </w:r>
          </w:p>
        </w:tc>
        <w:tc>
          <w:tcPr>
            <w:tcW w:w="1330" w:type="dxa"/>
            <w:shd w:val="clear" w:color="auto" w:fill="auto"/>
            <w:noWrap/>
            <w:vAlign w:val="bottom"/>
            <w:hideMark/>
          </w:tcPr>
          <w:p w14:paraId="5AD290E8"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1 999 417</w:t>
            </w:r>
          </w:p>
        </w:tc>
      </w:tr>
      <w:tr w:rsidR="00EB6D39" w:rsidRPr="00EB6D39" w14:paraId="07017F74" w14:textId="77777777" w:rsidTr="00B710A6">
        <w:trPr>
          <w:trHeight w:val="270"/>
        </w:trPr>
        <w:tc>
          <w:tcPr>
            <w:tcW w:w="2697" w:type="dxa"/>
            <w:shd w:val="clear" w:color="auto" w:fill="auto"/>
            <w:vAlign w:val="bottom"/>
          </w:tcPr>
          <w:p w14:paraId="5D6FD700" w14:textId="7B65D6F5" w:rsidR="00DC0EB5" w:rsidRPr="00EB6D39" w:rsidRDefault="00DC0EB5" w:rsidP="00DC0EB5">
            <w:pPr>
              <w:spacing w:after="0" w:line="240" w:lineRule="auto"/>
              <w:rPr>
                <w:rFonts w:ascii="Times New Roman" w:eastAsia="Times New Roman" w:hAnsi="Times New Roman" w:cs="Times New Roman"/>
                <w:kern w:val="0"/>
                <w:sz w:val="18"/>
                <w:szCs w:val="18"/>
                <w:lang w:eastAsia="sk-SK"/>
                <w14:ligatures w14:val="none"/>
              </w:rPr>
            </w:pPr>
            <w:r w:rsidRPr="00EB6D39">
              <w:rPr>
                <w:rFonts w:ascii="Times New Roman" w:hAnsi="Times New Roman" w:cs="Times New Roman"/>
                <w:sz w:val="18"/>
                <w:szCs w:val="18"/>
              </w:rPr>
              <w:t>Iná zdravotná starostlivosť</w:t>
            </w:r>
          </w:p>
        </w:tc>
        <w:tc>
          <w:tcPr>
            <w:tcW w:w="1463" w:type="dxa"/>
            <w:shd w:val="clear" w:color="auto" w:fill="auto"/>
            <w:noWrap/>
            <w:vAlign w:val="bottom"/>
            <w:hideMark/>
          </w:tcPr>
          <w:p w14:paraId="40E7E7C3" w14:textId="327213D6"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463" w:type="dxa"/>
            <w:shd w:val="clear" w:color="auto" w:fill="auto"/>
            <w:noWrap/>
            <w:vAlign w:val="bottom"/>
            <w:hideMark/>
          </w:tcPr>
          <w:p w14:paraId="1BB2F1D8"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510" w:type="dxa"/>
            <w:shd w:val="clear" w:color="auto" w:fill="auto"/>
            <w:noWrap/>
            <w:vAlign w:val="bottom"/>
            <w:hideMark/>
          </w:tcPr>
          <w:p w14:paraId="3AF4A251"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64" w:type="dxa"/>
            <w:shd w:val="clear" w:color="auto" w:fill="auto"/>
            <w:noWrap/>
            <w:vAlign w:val="bottom"/>
            <w:hideMark/>
          </w:tcPr>
          <w:p w14:paraId="5603D5C4" w14:textId="77777777"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r w:rsidRPr="00EB6D39">
              <w:rPr>
                <w:rFonts w:ascii="Times New Roman" w:eastAsia="Times New Roman" w:hAnsi="Times New Roman" w:cs="Times New Roman"/>
                <w:kern w:val="0"/>
                <w:sz w:val="18"/>
                <w:szCs w:val="18"/>
                <w:lang w:eastAsia="sk-SK"/>
                <w14:ligatures w14:val="none"/>
              </w:rPr>
              <w:t> </w:t>
            </w:r>
          </w:p>
        </w:tc>
        <w:tc>
          <w:tcPr>
            <w:tcW w:w="1330" w:type="dxa"/>
            <w:shd w:val="clear" w:color="auto" w:fill="auto"/>
            <w:noWrap/>
            <w:vAlign w:val="bottom"/>
            <w:hideMark/>
          </w:tcPr>
          <w:p w14:paraId="6C2C9FF6" w14:textId="706867AD" w:rsidR="00DC0EB5" w:rsidRPr="00EB6D39" w:rsidRDefault="00DC0EB5" w:rsidP="00DC0EB5">
            <w:pPr>
              <w:spacing w:after="0" w:line="240" w:lineRule="auto"/>
              <w:jc w:val="right"/>
              <w:rPr>
                <w:rFonts w:ascii="Times New Roman" w:eastAsia="Times New Roman" w:hAnsi="Times New Roman" w:cs="Times New Roman"/>
                <w:kern w:val="0"/>
                <w:sz w:val="18"/>
                <w:szCs w:val="18"/>
                <w:lang w:eastAsia="sk-SK"/>
                <w14:ligatures w14:val="none"/>
              </w:rPr>
            </w:pPr>
          </w:p>
        </w:tc>
      </w:tr>
    </w:tbl>
    <w:p w14:paraId="70857F30" w14:textId="77777777" w:rsidR="004E3C40" w:rsidRPr="00EB6D39" w:rsidRDefault="004E3C40" w:rsidP="002E5CA3">
      <w:pPr>
        <w:spacing w:after="0" w:line="240" w:lineRule="auto"/>
        <w:jc w:val="both"/>
        <w:rPr>
          <w:rFonts w:ascii="Times New Roman" w:hAnsi="Times New Roman" w:cs="Times New Roman"/>
          <w:sz w:val="24"/>
          <w:szCs w:val="24"/>
        </w:rPr>
      </w:pPr>
    </w:p>
    <w:p w14:paraId="2177C6FD" w14:textId="00000D17" w:rsidR="00AA4A47" w:rsidRPr="00EB6D39" w:rsidRDefault="00A872D4"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Každý rok sa vypočítava základná zložka mzdy zdravotníckeho pracovníka ako násobok (podľa získanej odbornej/certifikovanej spôsobilosti zdravotníckej profesie) priemernej mesačnej mzdy zamestnanca v</w:t>
      </w:r>
      <w:r w:rsidR="00AA4A47" w:rsidRPr="00EB6D39">
        <w:rPr>
          <w:rFonts w:ascii="Times New Roman" w:hAnsi="Times New Roman" w:cs="Times New Roman"/>
          <w:sz w:val="24"/>
          <w:szCs w:val="24"/>
        </w:rPr>
        <w:t xml:space="preserve"> národnom </w:t>
      </w:r>
      <w:r w:rsidRPr="00EB6D39">
        <w:rPr>
          <w:rFonts w:ascii="Times New Roman" w:hAnsi="Times New Roman" w:cs="Times New Roman"/>
          <w:sz w:val="24"/>
          <w:szCs w:val="24"/>
        </w:rPr>
        <w:t xml:space="preserve">hospodárstve Slovenskej republiky zistenej Štatistickým úradom Slovenskej republiky za kalendárny rok, ktorý dva roky predchádza kalendárnemu roku, v ktorom sa priznáva základná zložka mzdy. Táto suma sa prenásobuje koeficientom podľa výkazov NCZI, ktorý zahŕňa výšky nadčasov, rokov praxe a príplatkov za predchádzajúci rok, v ktorom sa priznáva základná zložka mzdy. Celkové zmeny valorizácie miezd zdravotníckych pracovníkov a zmeny vyvolané LOZ, predstavovalo sumu medziročného nárastu miezd takmer 389 mil. eur všetkých zdravotníkov, z čoho približne 34 % všetkých zdravotníckych pracovníkov (FTE) tvoria mzdové náklady na ambulantný sektor. V ambulantnom sektore počítame s priemernou </w:t>
      </w:r>
      <w:proofErr w:type="spellStart"/>
      <w:r w:rsidRPr="00EB6D39">
        <w:rPr>
          <w:rFonts w:ascii="Times New Roman" w:hAnsi="Times New Roman" w:cs="Times New Roman"/>
          <w:sz w:val="24"/>
          <w:szCs w:val="24"/>
        </w:rPr>
        <w:t>superhrubou</w:t>
      </w:r>
      <w:proofErr w:type="spellEnd"/>
      <w:r w:rsidRPr="00EB6D39">
        <w:rPr>
          <w:rFonts w:ascii="Times New Roman" w:hAnsi="Times New Roman" w:cs="Times New Roman"/>
          <w:sz w:val="24"/>
          <w:szCs w:val="24"/>
        </w:rPr>
        <w:t xml:space="preserve"> mzdou lekára vo výške 6798 eur a priemernou </w:t>
      </w:r>
      <w:proofErr w:type="spellStart"/>
      <w:r w:rsidRPr="00EB6D39">
        <w:rPr>
          <w:rFonts w:ascii="Times New Roman" w:hAnsi="Times New Roman" w:cs="Times New Roman"/>
          <w:sz w:val="24"/>
          <w:szCs w:val="24"/>
        </w:rPr>
        <w:t>superhrubou</w:t>
      </w:r>
      <w:proofErr w:type="spellEnd"/>
      <w:r w:rsidRPr="00EB6D39">
        <w:rPr>
          <w:rFonts w:ascii="Times New Roman" w:hAnsi="Times New Roman" w:cs="Times New Roman"/>
          <w:sz w:val="24"/>
          <w:szCs w:val="24"/>
        </w:rPr>
        <w:t xml:space="preserve"> mzdou sestry vo výške 3287 eur. </w:t>
      </w:r>
      <w:r w:rsidR="00AA4A47" w:rsidRPr="00EB6D39">
        <w:rPr>
          <w:rFonts w:ascii="Times New Roman" w:hAnsi="Times New Roman" w:cs="Times New Roman"/>
          <w:sz w:val="24"/>
          <w:szCs w:val="24"/>
        </w:rPr>
        <w:t>Podľa výkazov z NCZI pracuje v</w:t>
      </w:r>
      <w:r w:rsidR="00980FBE" w:rsidRPr="00EB6D39">
        <w:rPr>
          <w:rFonts w:ascii="Times New Roman" w:hAnsi="Times New Roman" w:cs="Times New Roman"/>
          <w:sz w:val="24"/>
          <w:szCs w:val="24"/>
        </w:rPr>
        <w:t xml:space="preserve"> ambulantnom sektore približne 26 000 zdravotníckych pracovníkov. </w:t>
      </w:r>
      <w:r w:rsidRPr="00EB6D39">
        <w:rPr>
          <w:rFonts w:ascii="Times New Roman" w:hAnsi="Times New Roman" w:cs="Times New Roman"/>
          <w:sz w:val="24"/>
          <w:szCs w:val="24"/>
        </w:rPr>
        <w:t>Medziročné zmeny LOZ sú premietnuté do miezd zdravotníkov pre ambulantný sektor v plnej miere. </w:t>
      </w:r>
    </w:p>
    <w:p w14:paraId="23D8AEEA" w14:textId="77777777" w:rsidR="00C83767" w:rsidRPr="00EB6D39" w:rsidRDefault="00C83767" w:rsidP="002E5CA3">
      <w:pPr>
        <w:spacing w:after="0" w:line="240" w:lineRule="auto"/>
        <w:jc w:val="both"/>
        <w:rPr>
          <w:rFonts w:ascii="Times New Roman" w:hAnsi="Times New Roman" w:cs="Times New Roman"/>
          <w:b/>
          <w:bCs/>
          <w:sz w:val="24"/>
          <w:szCs w:val="24"/>
        </w:rPr>
      </w:pPr>
    </w:p>
    <w:p w14:paraId="7FDE435E" w14:textId="3E5F748B" w:rsidR="000C0DD3" w:rsidRPr="00EB6D39" w:rsidRDefault="000C0DD3"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Celkové mzdy v riadku Ústavná zdravotná starostlivosť 244 063 443 EUR sa týka</w:t>
      </w:r>
      <w:r w:rsidR="00AA4A47" w:rsidRPr="00EB6D39">
        <w:rPr>
          <w:rFonts w:ascii="Times New Roman" w:hAnsi="Times New Roman" w:cs="Times New Roman"/>
          <w:sz w:val="24"/>
          <w:szCs w:val="24"/>
        </w:rPr>
        <w:t>jú</w:t>
      </w:r>
      <w:r w:rsidRPr="00EB6D39">
        <w:rPr>
          <w:rFonts w:ascii="Times New Roman" w:hAnsi="Times New Roman" w:cs="Times New Roman"/>
          <w:sz w:val="24"/>
          <w:szCs w:val="24"/>
        </w:rPr>
        <w:t xml:space="preserve"> navýšenia miezd zamestnancov v rámci ústavnej zdravotnej starostlivosti (lôžková časť)</w:t>
      </w:r>
      <w:r w:rsidR="00927008" w:rsidRPr="00EB6D39">
        <w:rPr>
          <w:rFonts w:ascii="Times New Roman" w:hAnsi="Times New Roman" w:cs="Times New Roman"/>
          <w:sz w:val="24"/>
          <w:szCs w:val="24"/>
        </w:rPr>
        <w:t xml:space="preserve"> a v ambulanciách, ktoré sú tzv. nemocničné</w:t>
      </w:r>
      <w:r w:rsidRPr="00EB6D39">
        <w:rPr>
          <w:rFonts w:ascii="Times New Roman" w:hAnsi="Times New Roman" w:cs="Times New Roman"/>
          <w:sz w:val="24"/>
          <w:szCs w:val="24"/>
        </w:rPr>
        <w:t xml:space="preserve"> </w:t>
      </w:r>
      <w:r w:rsidR="00AA4A47" w:rsidRPr="00EB6D39">
        <w:rPr>
          <w:rFonts w:ascii="Times New Roman" w:hAnsi="Times New Roman" w:cs="Times New Roman"/>
          <w:sz w:val="24"/>
          <w:szCs w:val="24"/>
        </w:rPr>
        <w:t xml:space="preserve">(verejne dostupné a aj verejne nedostupné) </w:t>
      </w:r>
      <w:r w:rsidRPr="00EB6D39">
        <w:rPr>
          <w:rFonts w:ascii="Times New Roman" w:hAnsi="Times New Roman" w:cs="Times New Roman"/>
          <w:sz w:val="24"/>
          <w:szCs w:val="24"/>
        </w:rPr>
        <w:t>a zvyšok navýšenia miezd zamestnancov ÚZZ je pomernou časťou zahrnutý v ostatných typoch zdrav. starostlivosti (mzdy ambulantných zdravotníckych pracovníkov a nezdravotníckych zamestnancov</w:t>
      </w:r>
      <w:r w:rsidR="00927008" w:rsidRPr="00EB6D39">
        <w:rPr>
          <w:rFonts w:ascii="Times New Roman" w:hAnsi="Times New Roman" w:cs="Times New Roman"/>
          <w:sz w:val="24"/>
          <w:szCs w:val="24"/>
        </w:rPr>
        <w:t>, ak ide o tzv. externé ambulancie</w:t>
      </w:r>
      <w:r w:rsidRPr="00EB6D39">
        <w:rPr>
          <w:rFonts w:ascii="Times New Roman" w:hAnsi="Times New Roman" w:cs="Times New Roman"/>
          <w:sz w:val="24"/>
          <w:szCs w:val="24"/>
        </w:rPr>
        <w:t>) v celkovej sume 144 928 147 EUR. Spresnenie k uvedeným sumám je nevyhnutné pre efektívne prerozdelenie finančných zdrojov poskytovateľom ústavnej zdravotnej starostlivosti, predovšetkým eliminovaniu duplicitných položiek.</w:t>
      </w:r>
    </w:p>
    <w:p w14:paraId="15CBA03D" w14:textId="77777777" w:rsidR="00A872D4" w:rsidRPr="00EB6D39" w:rsidRDefault="00A872D4" w:rsidP="002E5CA3">
      <w:pPr>
        <w:spacing w:after="0" w:line="240" w:lineRule="auto"/>
        <w:jc w:val="both"/>
        <w:rPr>
          <w:rFonts w:ascii="Times New Roman" w:hAnsi="Times New Roman" w:cs="Times New Roman"/>
          <w:sz w:val="24"/>
          <w:szCs w:val="24"/>
        </w:rPr>
      </w:pPr>
    </w:p>
    <w:p w14:paraId="52B5BB2B" w14:textId="77777777" w:rsidR="00B710A6" w:rsidRDefault="00B710A6" w:rsidP="0043689D">
      <w:pPr>
        <w:spacing w:after="0" w:line="240" w:lineRule="auto"/>
        <w:ind w:firstLine="708"/>
        <w:jc w:val="both"/>
        <w:rPr>
          <w:rFonts w:ascii="Times New Roman" w:hAnsi="Times New Roman" w:cs="Times New Roman"/>
          <w:sz w:val="24"/>
          <w:szCs w:val="24"/>
        </w:rPr>
      </w:pPr>
    </w:p>
    <w:p w14:paraId="1C680641" w14:textId="5A218344" w:rsidR="00965B9D" w:rsidRPr="00EB6D39" w:rsidRDefault="00965B9D" w:rsidP="0043689D">
      <w:pPr>
        <w:spacing w:after="0" w:line="240" w:lineRule="auto"/>
        <w:ind w:firstLine="708"/>
        <w:jc w:val="both"/>
        <w:rPr>
          <w:rFonts w:ascii="Times New Roman" w:eastAsia="Times New Roman" w:hAnsi="Times New Roman" w:cs="Times New Roman"/>
          <w:sz w:val="24"/>
          <w:szCs w:val="24"/>
        </w:rPr>
      </w:pPr>
      <w:r w:rsidRPr="00EB6D39">
        <w:rPr>
          <w:rFonts w:ascii="Times New Roman" w:hAnsi="Times New Roman" w:cs="Times New Roman"/>
          <w:sz w:val="24"/>
          <w:szCs w:val="24"/>
        </w:rPr>
        <w:lastRenderedPageBreak/>
        <w:t xml:space="preserve">Podľa splnomocňovacieho ustanovenia má tzv. programová vyhláška v roku 2025 ustanoviť </w:t>
      </w:r>
    </w:p>
    <w:p w14:paraId="5DC49C77" w14:textId="6F06BD94" w:rsidR="00965B9D" w:rsidRPr="00EB6D39" w:rsidRDefault="00965B9D" w:rsidP="0043689D">
      <w:pPr>
        <w:pStyle w:val="Odsekzoznamu"/>
        <w:numPr>
          <w:ilvl w:val="0"/>
          <w:numId w:val="29"/>
        </w:numPr>
        <w:spacing w:after="0" w:line="240" w:lineRule="auto"/>
        <w:ind w:left="426"/>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štruktúru výdavkov podľa typov zdravotnej starostlivosti; na účel ustanovenia sumy výdavkov sa vychádza z nákladov na poistné plnenia uvedených v účtovej osnove pre zdravotnú poisťovňu bez zmeny stavu technických rezerv za obdobie kalendárneho roka, za ktorý sa údaje predkladajú a vecne a časovo s ním súvisia,</w:t>
      </w:r>
    </w:p>
    <w:p w14:paraId="5AB36B8D" w14:textId="55729CC2"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limit výdavkov určený na zdravotnú starostlivosť v rozpočte verejnej správy</w:t>
      </w:r>
      <w:r w:rsidRPr="00EB6D39">
        <w:rPr>
          <w:rFonts w:ascii="Times New Roman" w:eastAsia="Times New Roman" w:hAnsi="Times New Roman" w:cs="Times New Roman"/>
          <w:sz w:val="24"/>
          <w:szCs w:val="24"/>
          <w:vertAlign w:val="superscript"/>
        </w:rPr>
        <w:t>35aal</w:t>
      </w:r>
      <w:r w:rsidRPr="00EB6D39">
        <w:rPr>
          <w:rFonts w:ascii="Times New Roman" w:eastAsia="Times New Roman" w:hAnsi="Times New Roman" w:cs="Times New Roman"/>
          <w:sz w:val="24"/>
          <w:szCs w:val="24"/>
        </w:rPr>
        <w:t>) jednotlivo pre každú zdravotnú poisťovňu,</w:t>
      </w:r>
    </w:p>
    <w:p w14:paraId="3031F6C3" w14:textId="4B86E175"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percento určené pre jednotlivé typy zdravotnej starostlivosti z celkovej sumy výdavkov určenej na zdravotnú starostlivosť v rozpočte verejnej správy jednotlivo pre každú zdravotnú poisťovňu,</w:t>
      </w:r>
    </w:p>
    <w:p w14:paraId="07D457F5" w14:textId="398AAF6F"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minimálnu sumu výdavkov určenú pre jednotlivé typy zdravotnej starostlivosti v eurách z celkovej sumy výdavkov určenej na zdravotnú starostlivosť v rozpočte verejnej správy jednotlivo pre každú zdravotnú poisťovňu,</w:t>
      </w:r>
    </w:p>
    <w:p w14:paraId="783EFF8F" w14:textId="73A9F992"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spôsob určenia percentuálnych podielov a minimálnych súm pre typy zdravotnej starostlivosti; ak ide o ústavnú zdravotnú starostlivosť, pri ktorej sa uplatňuje klasifikačný systém, podiel jednotlivých zdravotných poisťovní podľa časti vety pred bodkočiarkou sa určí ako podiel zdravotných poisťovní na celkovom súčte efektívnych relatívnych váh za všetky hospitalizačné prípady uhrádzané podľa klasifikačného systému za obdobie od 1. júla kalendárneho roka, ktorý dva roky predchádza roku, na ktorý sa vydáva tento všeobecne záväzný právny predpis, do 30. júna kalendárneho roka, ktorý jeden rok predchádza roku, na ktorý sa vydáva tento všeobecne záväzný právny predpis po zohľadnení prepoistenia poistencov k 1. januáru kalendárneho roka, na ktorý sa tento všeobecne záväzný právny predpis vydáva,</w:t>
      </w:r>
    </w:p>
    <w:p w14:paraId="23DEFB93" w14:textId="36047635"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spôsob, rozsah a termíny predkladania oznámenia o výdavkoch podľa typov zdravotnej starostlivosti zdravotnou poisťovňou,</w:t>
      </w:r>
    </w:p>
    <w:p w14:paraId="3C65FC29" w14:textId="42C418E8"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opatrenia z revízie výdavkov pre jednotlivé typy zdravotnej starostlivosti v eurách jednotlivo pre každú zdravotnú poisťovňu,</w:t>
      </w:r>
    </w:p>
    <w:p w14:paraId="2F878EDB" w14:textId="2375B7FC" w:rsidR="00965B9D" w:rsidRPr="00EB6D39" w:rsidRDefault="00965B9D" w:rsidP="0043689D">
      <w:pPr>
        <w:pStyle w:val="Odsekzoznamu"/>
        <w:numPr>
          <w:ilvl w:val="0"/>
          <w:numId w:val="29"/>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maximálnu sumu výdavkov pre osobitné prípady úhrady liekov podľa osobitného predpisu jednotlivo pre každú zdravotnú poisťovňu,</w:t>
      </w:r>
    </w:p>
    <w:p w14:paraId="7E8038DA" w14:textId="432A1B20" w:rsidR="00965B9D" w:rsidRPr="00EB6D39" w:rsidRDefault="00965B9D" w:rsidP="0043689D">
      <w:pPr>
        <w:pStyle w:val="Odsekzoznamu"/>
        <w:numPr>
          <w:ilvl w:val="0"/>
          <w:numId w:val="29"/>
        </w:numPr>
        <w:spacing w:after="0" w:line="240" w:lineRule="auto"/>
        <w:ind w:left="426"/>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minimálnu sumu výdavkov určenú pre subjekty verejnej správy, ktorým sa poskytnutá zdravotná starostlivosť uhrádza z verejného zdravotného poistenia.</w:t>
      </w:r>
    </w:p>
    <w:bookmarkEnd w:id="5"/>
    <w:p w14:paraId="20D64E66" w14:textId="77777777" w:rsidR="00927008" w:rsidRPr="00EB6D39" w:rsidRDefault="00927008" w:rsidP="002E5CA3">
      <w:pPr>
        <w:spacing w:after="0" w:line="240" w:lineRule="auto"/>
        <w:ind w:left="426" w:hanging="426"/>
        <w:jc w:val="both"/>
        <w:rPr>
          <w:rFonts w:ascii="Times New Roman" w:eastAsia="Times New Roman" w:hAnsi="Times New Roman" w:cs="Times New Roman"/>
          <w:sz w:val="24"/>
          <w:szCs w:val="24"/>
        </w:rPr>
      </w:pPr>
    </w:p>
    <w:p w14:paraId="18120679" w14:textId="4FA69C1B" w:rsidR="00965B9D" w:rsidRPr="00EB6D39" w:rsidRDefault="00927008" w:rsidP="0043689D">
      <w:pPr>
        <w:spacing w:after="0" w:line="240" w:lineRule="auto"/>
        <w:ind w:firstLine="426"/>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 xml:space="preserve">Pre rok 2025 sa </w:t>
      </w:r>
      <w:r w:rsidR="00B710A6">
        <w:rPr>
          <w:rFonts w:ascii="Times New Roman" w:eastAsia="Times New Roman" w:hAnsi="Times New Roman" w:cs="Times New Roman"/>
          <w:sz w:val="24"/>
          <w:szCs w:val="24"/>
        </w:rPr>
        <w:t>M</w:t>
      </w:r>
      <w:r w:rsidRPr="00EB6D39">
        <w:rPr>
          <w:rFonts w:ascii="Times New Roman" w:eastAsia="Times New Roman" w:hAnsi="Times New Roman" w:cs="Times New Roman"/>
          <w:sz w:val="24"/>
          <w:szCs w:val="24"/>
        </w:rPr>
        <w:t xml:space="preserve">inisterstvo zdravotníctva </w:t>
      </w:r>
      <w:r w:rsidR="00B710A6">
        <w:rPr>
          <w:rFonts w:ascii="Times New Roman" w:eastAsia="Times New Roman" w:hAnsi="Times New Roman" w:cs="Times New Roman"/>
          <w:sz w:val="24"/>
          <w:szCs w:val="24"/>
        </w:rPr>
        <w:t xml:space="preserve">SR </w:t>
      </w:r>
      <w:r w:rsidRPr="00EB6D39">
        <w:rPr>
          <w:rFonts w:ascii="Times New Roman" w:eastAsia="Times New Roman" w:hAnsi="Times New Roman" w:cs="Times New Roman"/>
          <w:sz w:val="24"/>
          <w:szCs w:val="24"/>
        </w:rPr>
        <w:t xml:space="preserve">rozhodlo </w:t>
      </w:r>
      <w:r w:rsidR="00B710A6">
        <w:rPr>
          <w:rFonts w:ascii="Times New Roman" w:eastAsia="Times New Roman" w:hAnsi="Times New Roman" w:cs="Times New Roman"/>
          <w:sz w:val="24"/>
          <w:szCs w:val="24"/>
        </w:rPr>
        <w:t>ustanoviť</w:t>
      </w:r>
      <w:r w:rsidRPr="00EB6D39">
        <w:rPr>
          <w:rFonts w:ascii="Times New Roman" w:eastAsia="Times New Roman" w:hAnsi="Times New Roman" w:cs="Times New Roman"/>
          <w:sz w:val="24"/>
          <w:szCs w:val="24"/>
        </w:rPr>
        <w:t xml:space="preserve"> </w:t>
      </w:r>
    </w:p>
    <w:p w14:paraId="4E40EBD2" w14:textId="74745D3F" w:rsidR="00927008" w:rsidRPr="00EB6D39" w:rsidRDefault="00927008" w:rsidP="0043689D">
      <w:pPr>
        <w:pStyle w:val="Odsekzoznamu"/>
        <w:numPr>
          <w:ilvl w:val="0"/>
          <w:numId w:val="27"/>
        </w:numPr>
        <w:spacing w:after="0" w:line="240" w:lineRule="auto"/>
        <w:ind w:left="426"/>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limit výdavkov určený na zdravotnú starostlivosť v rozpočte verejnej správy</w:t>
      </w:r>
      <w:r w:rsidRPr="00EB6D39">
        <w:rPr>
          <w:rFonts w:ascii="Times New Roman" w:eastAsia="Times New Roman" w:hAnsi="Times New Roman" w:cs="Times New Roman"/>
          <w:sz w:val="24"/>
          <w:szCs w:val="24"/>
          <w:vertAlign w:val="superscript"/>
        </w:rPr>
        <w:t>35aal</w:t>
      </w:r>
      <w:r w:rsidRPr="00EB6D39">
        <w:rPr>
          <w:rFonts w:ascii="Times New Roman" w:eastAsia="Times New Roman" w:hAnsi="Times New Roman" w:cs="Times New Roman"/>
          <w:sz w:val="24"/>
          <w:szCs w:val="24"/>
        </w:rPr>
        <w:t>) jednotlivo pre každú zdravotnú poisťovňu,</w:t>
      </w:r>
    </w:p>
    <w:p w14:paraId="173B0FED" w14:textId="7ECD3B16" w:rsidR="00927008" w:rsidRPr="00EB6D39" w:rsidRDefault="00927008" w:rsidP="0043689D">
      <w:pPr>
        <w:pStyle w:val="Odsekzoznamu"/>
        <w:numPr>
          <w:ilvl w:val="0"/>
          <w:numId w:val="27"/>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minimálnu sumu výdavkov určenú pre jednotlivé typy zdravotnej starostlivosti v eurách z celkovej sumy výdavkov určenej na zdravotnú starostlivosť v rozpočte verejnej správy jednotlivo pre každú zdravotnú poisťovňu,</w:t>
      </w:r>
    </w:p>
    <w:p w14:paraId="4FDEC70C" w14:textId="735C25F2" w:rsidR="00927008" w:rsidRPr="00EB6D39" w:rsidRDefault="00927008" w:rsidP="0043689D">
      <w:pPr>
        <w:pStyle w:val="Odsekzoznamu"/>
        <w:numPr>
          <w:ilvl w:val="0"/>
          <w:numId w:val="27"/>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spôsob určenia percentuálnych podielov a minimálnych súm pre typy zdravotnej starostlivosti; ak ide o ústavnú zdravotnú starostlivosť, pri ktorej sa uplatňuje klasifikačný systém, podiel jednotlivých zdravotných poisťovní podľa časti vety pred bodkočiarkou sa určí ako podiel zdravotných poisťovní na celkovom súčte efektívnych relatívnych váh za všetky hospitalizačné prípady uhrádzané podľa klasifikačného systému za obdobie od 1. júla kalendárneho roka, ktorý dva roky predchádza roku, na ktorý sa vydáva tento všeobecne záväzný právny predpis, do 30. júna kalendárneho roka, ktorý jeden rok predchádza roku, na ktorý sa vydáva tento všeobecne záväzný právny predpis po zohľadnení prepoistenia poistencov k 1. januáru kalendárneho roka, na ktorý sa tento všeobecne záväzný právny predpis vydáva,</w:t>
      </w:r>
    </w:p>
    <w:p w14:paraId="3086E9EE" w14:textId="0120B894" w:rsidR="00927008" w:rsidRPr="00EB6D39" w:rsidRDefault="00927008" w:rsidP="0043689D">
      <w:pPr>
        <w:pStyle w:val="Odsekzoznamu"/>
        <w:numPr>
          <w:ilvl w:val="0"/>
          <w:numId w:val="27"/>
        </w:numPr>
        <w:spacing w:after="0" w:line="240" w:lineRule="auto"/>
        <w:ind w:left="426"/>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lastRenderedPageBreak/>
        <w:t>spôsob, rozsah a termíny predkladania oznámenia o výdavkoch podľa typov zdravotnej starostlivosti zdravotnou poisťovňou,</w:t>
      </w:r>
    </w:p>
    <w:p w14:paraId="0455C21F" w14:textId="0F3F4AC4" w:rsidR="00BF6655" w:rsidRPr="00EB6D39" w:rsidRDefault="00927008" w:rsidP="0043689D">
      <w:pPr>
        <w:pStyle w:val="Odsekzoznamu"/>
        <w:numPr>
          <w:ilvl w:val="0"/>
          <w:numId w:val="27"/>
        </w:numPr>
        <w:spacing w:after="0" w:line="240" w:lineRule="auto"/>
        <w:ind w:left="426"/>
        <w:jc w:val="both"/>
        <w:rPr>
          <w:rFonts w:ascii="Times New Roman" w:hAnsi="Times New Roman" w:cs="Times New Roman"/>
          <w:sz w:val="24"/>
          <w:szCs w:val="24"/>
        </w:rPr>
      </w:pPr>
      <w:r w:rsidRPr="00EB6D39">
        <w:rPr>
          <w:rFonts w:ascii="Times New Roman" w:eastAsia="Times New Roman" w:hAnsi="Times New Roman" w:cs="Times New Roman"/>
          <w:sz w:val="24"/>
          <w:szCs w:val="24"/>
        </w:rPr>
        <w:t>maximálnu sumu výdavkov pre osobitné prípady úhrady liekov podľa osobitného predpisu jednotlivo pre každú zdravotnú poisťovňu</w:t>
      </w:r>
      <w:r w:rsidR="00BF6655" w:rsidRPr="00EB6D39">
        <w:rPr>
          <w:rFonts w:ascii="Times New Roman" w:eastAsia="Times New Roman" w:hAnsi="Times New Roman" w:cs="Times New Roman"/>
          <w:sz w:val="24"/>
          <w:szCs w:val="24"/>
        </w:rPr>
        <w:t xml:space="preserve">, </w:t>
      </w:r>
    </w:p>
    <w:p w14:paraId="66DC3A9D" w14:textId="3749DEC7" w:rsidR="00927008" w:rsidRPr="00EB6D39" w:rsidRDefault="00927008" w:rsidP="0043689D">
      <w:pPr>
        <w:pStyle w:val="Odsekzoznamu"/>
        <w:numPr>
          <w:ilvl w:val="0"/>
          <w:numId w:val="27"/>
        </w:numPr>
        <w:spacing w:after="0" w:line="240" w:lineRule="auto"/>
        <w:ind w:left="426"/>
        <w:jc w:val="both"/>
      </w:pPr>
      <w:r w:rsidRPr="00EB6D39">
        <w:rPr>
          <w:rFonts w:ascii="Times New Roman" w:eastAsia="Times New Roman" w:hAnsi="Times New Roman" w:cs="Times New Roman"/>
          <w:sz w:val="24"/>
          <w:szCs w:val="24"/>
        </w:rPr>
        <w:t>minimálnu sumu výdavkov určenú pre subjekty verejnej správy, ktorým sa poskytnutá zdravotná starostlivosť uhrádza z verejného zdravotného poistenia.</w:t>
      </w:r>
    </w:p>
    <w:p w14:paraId="0E41AE2D" w14:textId="77777777" w:rsidR="00927008" w:rsidRPr="00EB6D39" w:rsidRDefault="00927008" w:rsidP="002E5CA3">
      <w:pPr>
        <w:spacing w:after="0" w:line="240" w:lineRule="auto"/>
        <w:ind w:left="426" w:hanging="426"/>
        <w:jc w:val="both"/>
        <w:rPr>
          <w:rFonts w:ascii="Times New Roman" w:eastAsia="Times New Roman" w:hAnsi="Times New Roman" w:cs="Times New Roman"/>
          <w:sz w:val="24"/>
          <w:szCs w:val="24"/>
        </w:rPr>
      </w:pPr>
    </w:p>
    <w:p w14:paraId="068F0C6E" w14:textId="77777777" w:rsidR="00965B9D" w:rsidRPr="00EB6D39" w:rsidRDefault="00965B9D" w:rsidP="002E5CA3">
      <w:pPr>
        <w:spacing w:after="0" w:line="240" w:lineRule="auto"/>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 1 vyhlášky</w:t>
      </w:r>
    </w:p>
    <w:p w14:paraId="38DC7B7A" w14:textId="77777777" w:rsidR="00965B9D" w:rsidRPr="00EB6D39" w:rsidRDefault="00965B9D" w:rsidP="002E5CA3">
      <w:pPr>
        <w:spacing w:after="0" w:line="240" w:lineRule="auto"/>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odsekom 1 a 2</w:t>
      </w:r>
    </w:p>
    <w:p w14:paraId="7D79D4E7" w14:textId="77777777" w:rsidR="00965B9D" w:rsidRPr="00EB6D39" w:rsidRDefault="00965B9D" w:rsidP="002043E6">
      <w:pPr>
        <w:spacing w:after="0" w:line="240" w:lineRule="auto"/>
        <w:ind w:firstLine="708"/>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Definujú sa jednotlivé typy zdravotnej starostlivosti. Pôvodne boli definované jednotlivé typy a ich podrobná štruktúra vo vyhláške Ministerstva zdravotníctva slovenskej republiky č. 10/2022 Z. z., ktorou sa ustanovuje spôsob, rozsah, termíny predkladania ďalších údajov, štruktúra výdavkov na jednotlivé typy zdravotnej starostlivosti a spôsob určenia percentuálnych podielov pre typy zdravotnej starostlivosti pre jednotlivé zdravotné poisťovne. Avšak v priebehu času bola prijatá vyhláška Ministerstva zdravotníctva Slovenskej č. 522/2023 Z. z. o predkladaní údajov z účtovníctva, štatistickej evidencie a ďalších údajov zdravotnou poisťovňou, kde v prílohe č. 8 boli podrobne definované jednotlivé typy zdravotnej starostlivosti v nákladoch detailnejšie a presnejšie ako vo vyhláške č. 10/2022 Z. z. V záujme zjednotenia týchto pohľadov sa ponecháva štruktúra vo vyhláške č. 522/2023 Z. z. a navrhuje sa zrušiť vyhláška  č. 10/2022 Z. z.</w:t>
      </w:r>
    </w:p>
    <w:p w14:paraId="1A69F46C" w14:textId="77777777" w:rsidR="008325C9" w:rsidRPr="00EB6D39" w:rsidRDefault="008325C9" w:rsidP="0043689D">
      <w:pPr>
        <w:spacing w:after="0" w:line="240" w:lineRule="auto"/>
        <w:ind w:firstLine="708"/>
        <w:jc w:val="both"/>
        <w:rPr>
          <w:rFonts w:ascii="Times New Roman" w:eastAsia="Times New Roman" w:hAnsi="Times New Roman" w:cs="Times New Roman"/>
          <w:sz w:val="24"/>
          <w:szCs w:val="24"/>
        </w:rPr>
      </w:pPr>
    </w:p>
    <w:p w14:paraId="45E99D1A" w14:textId="77777777" w:rsidR="00965B9D" w:rsidRPr="00EB6D39" w:rsidRDefault="00965B9D" w:rsidP="0043689D">
      <w:pPr>
        <w:spacing w:after="0" w:line="240" w:lineRule="auto"/>
        <w:ind w:firstLine="708"/>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Náklady roka 2024 sa viažu na zdravotnú starostlivosť poskytnutú počas roka 2024, nie na objem úhrad počas roka 2024 vyplatených (výdavky 2024). Do výdavkov určitého roka spravidla padnú aj náklady posledných 2-3 mesiacov predchádzajúceho roka, naopak nezachytia náklady posledných mesiacov daného roka. Vzhľadom na to, že náklady aj výdavky na ZS medziročne rastú, náklady prevyšujú výdavky.</w:t>
      </w:r>
    </w:p>
    <w:p w14:paraId="61C967B7" w14:textId="77777777" w:rsidR="00965B9D" w:rsidRPr="00EB6D39" w:rsidRDefault="00965B9D" w:rsidP="002E5CA3">
      <w:pPr>
        <w:spacing w:after="0" w:line="240" w:lineRule="auto"/>
        <w:jc w:val="both"/>
        <w:rPr>
          <w:rFonts w:ascii="Times New Roman" w:eastAsia="Times New Roman" w:hAnsi="Times New Roman" w:cs="Times New Roman"/>
          <w:b/>
          <w:bCs/>
          <w:sz w:val="24"/>
          <w:szCs w:val="24"/>
        </w:rPr>
      </w:pPr>
    </w:p>
    <w:p w14:paraId="2E3CB99A" w14:textId="500B6FB6" w:rsidR="00965B9D" w:rsidRPr="00EB6D39" w:rsidRDefault="00965B9D" w:rsidP="002E5CA3">
      <w:pPr>
        <w:spacing w:after="0" w:line="240" w:lineRule="auto"/>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odsekom 3 až 9</w:t>
      </w:r>
    </w:p>
    <w:p w14:paraId="6AA90389" w14:textId="77777777" w:rsidR="00965B9D" w:rsidRPr="00EB6D39" w:rsidRDefault="00965B9D" w:rsidP="0043689D">
      <w:pPr>
        <w:spacing w:after="0" w:line="240" w:lineRule="auto"/>
        <w:ind w:firstLine="708"/>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 xml:space="preserve">Ustanovuje sa aké všetky náležitosti zo splnomocňovacieho ustanovenia sa uvedú v prílohe č. 1 vyhlášky. </w:t>
      </w:r>
    </w:p>
    <w:p w14:paraId="70F9A09E" w14:textId="77777777" w:rsidR="00965B9D" w:rsidRPr="00EB6D39" w:rsidRDefault="00965B9D" w:rsidP="002E5CA3">
      <w:pPr>
        <w:spacing w:after="0" w:line="240" w:lineRule="auto"/>
        <w:jc w:val="both"/>
        <w:rPr>
          <w:rFonts w:ascii="Times New Roman" w:eastAsia="Times New Roman" w:hAnsi="Times New Roman" w:cs="Times New Roman"/>
          <w:sz w:val="24"/>
          <w:szCs w:val="24"/>
        </w:rPr>
      </w:pPr>
    </w:p>
    <w:p w14:paraId="3393C549" w14:textId="77777777" w:rsidR="00965B9D" w:rsidRPr="00EB6D39" w:rsidRDefault="00965B9D" w:rsidP="002E5CA3">
      <w:pPr>
        <w:spacing w:after="0" w:line="240" w:lineRule="auto"/>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 2</w:t>
      </w:r>
    </w:p>
    <w:p w14:paraId="47044CF9" w14:textId="77777777" w:rsidR="00965B9D" w:rsidRPr="00EB6D39" w:rsidRDefault="00965B9D" w:rsidP="002E5CA3">
      <w:pPr>
        <w:spacing w:after="0" w:line="240" w:lineRule="auto"/>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odseku  1</w:t>
      </w:r>
    </w:p>
    <w:p w14:paraId="0B09C2EE" w14:textId="77777777" w:rsidR="00965B9D" w:rsidRPr="00EB6D39" w:rsidRDefault="00965B9D" w:rsidP="0043689D">
      <w:pPr>
        <w:spacing w:after="0" w:line="240" w:lineRule="auto"/>
        <w:ind w:firstLine="708"/>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Navrhuje sa ustanoviť čo je východiskom pre výpočet minimálnej sumy výdavkov určenej pre jednotlivé typy zdravotnej starostlivosti na príslušný kalendárny rok (ďalej len „minimálna suma“) pre každú zdravotnú poisťovňu.</w:t>
      </w:r>
    </w:p>
    <w:p w14:paraId="1087C91B" w14:textId="77777777" w:rsidR="00965B9D" w:rsidRPr="00EB6D39" w:rsidRDefault="00965B9D" w:rsidP="002E5CA3">
      <w:p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Tým je stanovenie</w:t>
      </w:r>
    </w:p>
    <w:p w14:paraId="443ABD77" w14:textId="29A4DAD1" w:rsidR="00965B9D" w:rsidRPr="00EB6D39" w:rsidRDefault="00965B9D" w:rsidP="00B9570B">
      <w:pPr>
        <w:pStyle w:val="Odsekzoznamu"/>
        <w:numPr>
          <w:ilvl w:val="0"/>
          <w:numId w:val="10"/>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celkovej sumy výdavkov určenej na zdravotnú starostlivosť v rozpočte verejnej správy na príslušný kalendárny rok jednotlivo pre každú zdravotnú poisťovňu (ďalej len „celková suma výdavkov“),</w:t>
      </w:r>
    </w:p>
    <w:p w14:paraId="1C8361F6" w14:textId="11AB72EB" w:rsidR="00965B9D" w:rsidRPr="00EB6D39" w:rsidRDefault="00965B9D" w:rsidP="00B9570B">
      <w:pPr>
        <w:pStyle w:val="Odsekzoznamu"/>
        <w:numPr>
          <w:ilvl w:val="0"/>
          <w:numId w:val="10"/>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disponibilných príjmov verejného zdravotného poistenia na príslušný kalendárny rok pre každú zdravotnú poisťovňu (ďalej len „disponibilné príjmy“),</w:t>
      </w:r>
    </w:p>
    <w:p w14:paraId="7751EB23" w14:textId="208334E7" w:rsidR="00965B9D" w:rsidRPr="00EB6D39" w:rsidRDefault="00965B9D" w:rsidP="00B9570B">
      <w:pPr>
        <w:pStyle w:val="Odsekzoznamu"/>
        <w:numPr>
          <w:ilvl w:val="0"/>
          <w:numId w:val="10"/>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disponibilných zdrojov na zdravotnú starostlivosť na príslušný kalendárny rok pre každú zdravotnú poisťovňu (ďalej len „disponibilné zdroje“).</w:t>
      </w:r>
    </w:p>
    <w:p w14:paraId="56A11A6A" w14:textId="77777777" w:rsidR="008A7E55" w:rsidRPr="00EB6D39" w:rsidRDefault="008A7E55" w:rsidP="002E5CA3">
      <w:pPr>
        <w:spacing w:after="0" w:line="240" w:lineRule="auto"/>
        <w:ind w:left="284" w:hanging="284"/>
        <w:jc w:val="both"/>
        <w:rPr>
          <w:rFonts w:ascii="Times New Roman" w:eastAsia="Times New Roman" w:hAnsi="Times New Roman" w:cs="Times New Roman"/>
          <w:sz w:val="24"/>
          <w:szCs w:val="24"/>
        </w:rPr>
      </w:pPr>
    </w:p>
    <w:p w14:paraId="23BB5ECB" w14:textId="7D90E5DA" w:rsidR="00965B9D" w:rsidRPr="00EB6D39" w:rsidRDefault="00965B9D" w:rsidP="002E5CA3">
      <w:pPr>
        <w:spacing w:after="0" w:line="240" w:lineRule="auto"/>
        <w:ind w:left="284" w:hanging="284"/>
        <w:jc w:val="both"/>
        <w:rPr>
          <w:rFonts w:ascii="Times New Roman" w:eastAsia="Times New Roman" w:hAnsi="Times New Roman" w:cs="Times New Roman"/>
          <w:b/>
          <w:bCs/>
          <w:sz w:val="24"/>
          <w:szCs w:val="24"/>
        </w:rPr>
      </w:pPr>
      <w:r w:rsidRPr="00EB6D39">
        <w:rPr>
          <w:rFonts w:ascii="Times New Roman" w:eastAsia="Times New Roman" w:hAnsi="Times New Roman" w:cs="Times New Roman"/>
          <w:b/>
          <w:bCs/>
          <w:sz w:val="24"/>
          <w:szCs w:val="24"/>
        </w:rPr>
        <w:t>K odseku 2</w:t>
      </w:r>
    </w:p>
    <w:p w14:paraId="66305FF8" w14:textId="7DABAF86" w:rsidR="00965B9D" w:rsidRPr="00EB6D39" w:rsidRDefault="00DB4FED" w:rsidP="0043689D">
      <w:pPr>
        <w:spacing w:after="0" w:line="240" w:lineRule="auto"/>
        <w:ind w:firstLine="708"/>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 xml:space="preserve">Navrhuje sa ustanoviť postup ako sa určí celková suma výdavkov. </w:t>
      </w:r>
      <w:r w:rsidR="00965B9D" w:rsidRPr="00EB6D39">
        <w:rPr>
          <w:rFonts w:ascii="Times New Roman" w:eastAsia="Times New Roman" w:hAnsi="Times New Roman" w:cs="Times New Roman"/>
          <w:sz w:val="24"/>
          <w:szCs w:val="24"/>
        </w:rPr>
        <w:t>Pri stanovení celkovej sumy výdavkov sa vychádza:</w:t>
      </w:r>
    </w:p>
    <w:p w14:paraId="68DE9F35" w14:textId="4DB1DCFA" w:rsidR="00965B9D" w:rsidRPr="00EB6D39" w:rsidRDefault="00965B9D"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lastRenderedPageBreak/>
        <w:t>z výdavkov jednotlivých zdravotných poisťovní podľa typov zdravotnej starostlivosti podľa § 1 ods. 1 za kalendárny rok, ktorý rok predchádza kalendárnemu roku, na ktorý sa minimálna suma určuje</w:t>
      </w:r>
      <w:r w:rsidR="00DB4FED" w:rsidRPr="00EB6D39">
        <w:rPr>
          <w:rFonts w:ascii="Times New Roman" w:eastAsia="Times New Roman" w:hAnsi="Times New Roman" w:cs="Times New Roman"/>
          <w:sz w:val="24"/>
          <w:szCs w:val="24"/>
        </w:rPr>
        <w:t>,</w:t>
      </w:r>
    </w:p>
    <w:p w14:paraId="3F8EA698" w14:textId="5AE58D0E" w:rsidR="00965B9D" w:rsidRPr="00EB6D39" w:rsidRDefault="00965B9D"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zo sumy schválenej v štátnom rozpočte na príslušný kalendárny rok, ktorá pokrýva dopad všeobecne záväzných právnych predpisov bez zmien politík pre jednotlivé typy zdravotnej starostlivosti a to najmä</w:t>
      </w:r>
      <w:r w:rsidR="00DB4FED" w:rsidRPr="00EB6D39">
        <w:rPr>
          <w:rFonts w:ascii="Times New Roman" w:eastAsia="Times New Roman" w:hAnsi="Times New Roman" w:cs="Times New Roman"/>
          <w:sz w:val="24"/>
          <w:szCs w:val="24"/>
        </w:rPr>
        <w:t>,</w:t>
      </w:r>
    </w:p>
    <w:p w14:paraId="5E99F619" w14:textId="29A05ACE" w:rsidR="00965B9D" w:rsidRPr="00EB6D39" w:rsidRDefault="00965B9D" w:rsidP="00331236">
      <w:pPr>
        <w:pStyle w:val="Odsekzoznamu"/>
        <w:numPr>
          <w:ilvl w:val="0"/>
          <w:numId w:val="8"/>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nárast miezd zdravotníckych pracovníkov a nezdravotníckych pracovníkov pracujúcich v zdravotníctve v príslušnom kalendárnom roku,</w:t>
      </w:r>
    </w:p>
    <w:p w14:paraId="538317F7" w14:textId="0FA88D93" w:rsidR="00965B9D" w:rsidRPr="00EB6D39" w:rsidRDefault="00965B9D" w:rsidP="00331236">
      <w:pPr>
        <w:pStyle w:val="Odsekzoznamu"/>
        <w:numPr>
          <w:ilvl w:val="0"/>
          <w:numId w:val="8"/>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dopad inflácie,</w:t>
      </w:r>
    </w:p>
    <w:p w14:paraId="673B345F" w14:textId="4C6D1485" w:rsidR="00965B9D" w:rsidRPr="00EB6D39" w:rsidRDefault="00965B9D" w:rsidP="00331236">
      <w:pPr>
        <w:pStyle w:val="Odsekzoznamu"/>
        <w:numPr>
          <w:ilvl w:val="0"/>
          <w:numId w:val="8"/>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dopad starnutia populácie,</w:t>
      </w:r>
    </w:p>
    <w:p w14:paraId="655511F4" w14:textId="22CAD531" w:rsidR="00965B9D" w:rsidRPr="00EB6D39" w:rsidRDefault="00965B9D" w:rsidP="00331236">
      <w:pPr>
        <w:pStyle w:val="Odsekzoznamu"/>
        <w:numPr>
          <w:ilvl w:val="0"/>
          <w:numId w:val="8"/>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dopad chorobnosti na lieky,</w:t>
      </w:r>
    </w:p>
    <w:p w14:paraId="0B9E97A2" w14:textId="5AF3386F" w:rsidR="00965B9D" w:rsidRPr="00EB6D39" w:rsidRDefault="00965B9D" w:rsidP="00331236">
      <w:pPr>
        <w:pStyle w:val="Odsekzoznamu"/>
        <w:numPr>
          <w:ilvl w:val="0"/>
          <w:numId w:val="8"/>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dopad chorobnosti na zdravotnícke pomôcky,</w:t>
      </w:r>
    </w:p>
    <w:p w14:paraId="0D476CFD" w14:textId="1C11D773" w:rsidR="00965B9D" w:rsidRPr="00EB6D39" w:rsidRDefault="00965B9D"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zo sumy, ktorá vyplýva z dopadu všeobecne záväzných právnych predpisov so zmenami politík pre jednotlivé typy zdravotnej starostlivosti, ktorá nebola zahrnutá v schválenom štátnom rozpočte na príslušný kalendárny rok</w:t>
      </w:r>
      <w:r w:rsidR="00DB4FED" w:rsidRPr="00EB6D39">
        <w:rPr>
          <w:rFonts w:ascii="Times New Roman" w:eastAsia="Times New Roman" w:hAnsi="Times New Roman" w:cs="Times New Roman"/>
          <w:sz w:val="24"/>
          <w:szCs w:val="24"/>
        </w:rPr>
        <w:t>,</w:t>
      </w:r>
    </w:p>
    <w:p w14:paraId="082CDA24" w14:textId="53D0060C" w:rsidR="00965B9D" w:rsidRPr="00EB6D39" w:rsidRDefault="00965B9D"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zo sumy, ktorá vyplýva zo zmien politík pri zohľadnení zásadných smerov a priorít štátnej zdravotnej politiky určených Ministerstvom zdravotníctva Slovenskej republiky pre jednotlivé typy zdravotnej starostlivosti</w:t>
      </w:r>
      <w:r w:rsidR="00DB4FED" w:rsidRPr="00EB6D39">
        <w:rPr>
          <w:rFonts w:ascii="Times New Roman" w:eastAsia="Times New Roman" w:hAnsi="Times New Roman" w:cs="Times New Roman"/>
          <w:sz w:val="24"/>
          <w:szCs w:val="24"/>
        </w:rPr>
        <w:t>,</w:t>
      </w:r>
    </w:p>
    <w:p w14:paraId="40910736" w14:textId="19FA7448" w:rsidR="00965B9D" w:rsidRPr="00EB6D39" w:rsidRDefault="00965B9D"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z dopadu opatrení z revízie výdavkov pre jednotlivé typy zdravotnej starostlivosti,</w:t>
      </w:r>
    </w:p>
    <w:p w14:paraId="4616BAA6" w14:textId="21443D94" w:rsidR="00965B9D" w:rsidRPr="00EB6D39" w:rsidRDefault="00B9570B" w:rsidP="00B9570B">
      <w:pPr>
        <w:pStyle w:val="Odsekzoznamu"/>
        <w:numPr>
          <w:ilvl w:val="0"/>
          <w:numId w:val="13"/>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 xml:space="preserve">z </w:t>
      </w:r>
      <w:r w:rsidR="00965B9D" w:rsidRPr="00EB6D39">
        <w:rPr>
          <w:rFonts w:ascii="Times New Roman" w:eastAsia="Times New Roman" w:hAnsi="Times New Roman" w:cs="Times New Roman"/>
          <w:sz w:val="24"/>
          <w:szCs w:val="24"/>
        </w:rPr>
        <w:t>úsporných opatrení pre jednotlivé typy zdravotnej starostlivosti.</w:t>
      </w:r>
    </w:p>
    <w:p w14:paraId="71034DDD" w14:textId="77777777" w:rsidR="00965B9D" w:rsidRPr="00EB6D39" w:rsidRDefault="00965B9D" w:rsidP="002E5CA3">
      <w:pPr>
        <w:spacing w:after="0" w:line="240" w:lineRule="auto"/>
        <w:ind w:left="284" w:hanging="284"/>
        <w:jc w:val="both"/>
        <w:rPr>
          <w:rFonts w:ascii="Times New Roman" w:eastAsia="Times New Roman" w:hAnsi="Times New Roman" w:cs="Times New Roman"/>
          <w:sz w:val="24"/>
          <w:szCs w:val="24"/>
        </w:rPr>
      </w:pPr>
    </w:p>
    <w:p w14:paraId="26CF1624" w14:textId="77777777"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odseku 3</w:t>
      </w:r>
    </w:p>
    <w:p w14:paraId="3C24A87B" w14:textId="27F4544F" w:rsidR="002D4F78" w:rsidRPr="00EB6D39" w:rsidRDefault="00DB4FED" w:rsidP="0043689D">
      <w:pPr>
        <w:spacing w:after="0" w:line="240" w:lineRule="auto"/>
        <w:ind w:firstLine="708"/>
        <w:jc w:val="both"/>
        <w:rPr>
          <w:rFonts w:ascii="Times New Roman" w:hAnsi="Times New Roman" w:cs="Times New Roman"/>
          <w:b/>
          <w:bCs/>
          <w:sz w:val="24"/>
          <w:szCs w:val="24"/>
        </w:rPr>
      </w:pPr>
      <w:r w:rsidRPr="00EB6D39">
        <w:rPr>
          <w:rFonts w:ascii="Times New Roman" w:hAnsi="Times New Roman" w:cs="Times New Roman"/>
          <w:sz w:val="24"/>
          <w:szCs w:val="24"/>
        </w:rPr>
        <w:t xml:space="preserve">Ustanovuje sa postup ako vypočítať celkovú sumu výdavkov. </w:t>
      </w:r>
      <w:r w:rsidR="00965B9D" w:rsidRPr="00EB6D39">
        <w:rPr>
          <w:rFonts w:ascii="Times New Roman" w:hAnsi="Times New Roman" w:cs="Times New Roman"/>
          <w:sz w:val="24"/>
          <w:szCs w:val="24"/>
        </w:rPr>
        <w:t>Celková suma výdavkov sa vypočíta ako súčet súm stanovených podľa odseku 2.</w:t>
      </w:r>
    </w:p>
    <w:p w14:paraId="27415610" w14:textId="77777777" w:rsidR="006A4CDE" w:rsidRPr="00EB6D39" w:rsidRDefault="006A4CDE" w:rsidP="002E5CA3">
      <w:pPr>
        <w:spacing w:after="0" w:line="240" w:lineRule="auto"/>
        <w:jc w:val="both"/>
        <w:rPr>
          <w:rFonts w:ascii="Times New Roman" w:hAnsi="Times New Roman" w:cs="Times New Roman"/>
          <w:b/>
          <w:bCs/>
          <w:sz w:val="24"/>
          <w:szCs w:val="24"/>
        </w:rPr>
      </w:pPr>
    </w:p>
    <w:p w14:paraId="5D96148F" w14:textId="5395FD56"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odseku 4</w:t>
      </w:r>
    </w:p>
    <w:p w14:paraId="619F9022" w14:textId="7646CA6F" w:rsidR="00965B9D" w:rsidRPr="00EB6D39" w:rsidRDefault="00DB4FE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Ustanovuje sa z čoho sa vychádza pri stanovení disponibilných príjmov. </w:t>
      </w:r>
      <w:r w:rsidR="00965B9D" w:rsidRPr="00EB6D39">
        <w:rPr>
          <w:rFonts w:ascii="Times New Roman" w:hAnsi="Times New Roman" w:cs="Times New Roman"/>
          <w:sz w:val="24"/>
          <w:szCs w:val="24"/>
        </w:rPr>
        <w:t xml:space="preserve">Pri stanovení disponibilných príjmov sa vychádza: </w:t>
      </w:r>
    </w:p>
    <w:p w14:paraId="41694E8E" w14:textId="6C465B8A" w:rsidR="00965B9D" w:rsidRPr="00EB6D39" w:rsidRDefault="00965B9D" w:rsidP="00B9570B">
      <w:pPr>
        <w:pStyle w:val="Odsekzoznamu"/>
        <w:numPr>
          <w:ilvl w:val="0"/>
          <w:numId w:val="15"/>
        </w:numPr>
        <w:spacing w:after="0" w:line="240" w:lineRule="auto"/>
        <w:jc w:val="both"/>
        <w:rPr>
          <w:rFonts w:ascii="Times New Roman" w:eastAsia="Times New Roman" w:hAnsi="Times New Roman" w:cs="Times New Roman"/>
          <w:sz w:val="24"/>
          <w:szCs w:val="24"/>
        </w:rPr>
      </w:pPr>
      <w:r w:rsidRPr="00EB6D39">
        <w:rPr>
          <w:rFonts w:ascii="Times New Roman" w:eastAsia="Times New Roman" w:hAnsi="Times New Roman" w:cs="Times New Roman"/>
          <w:sz w:val="24"/>
          <w:szCs w:val="24"/>
        </w:rPr>
        <w:t>z očakávaných celkových príjmov verejného zdravotného poistenia bežného roka po zohľadnení prepoistenia poistencov v príslušnom kalendárnom roku podľa údajov z Úradu pre dohľad nad zdravotnou starostlivosťou pre jednotlivé zdravotné poisťovne, ktorými sú:</w:t>
      </w:r>
    </w:p>
    <w:p w14:paraId="7FF76E21" w14:textId="0DB0B184"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príjmy za ekonomicky aktívnych poistencov (preddavky, dlžné poistné) podľa zverejnenej aktuálnej prognózy Výboru pre daňové prognózy, </w:t>
      </w:r>
    </w:p>
    <w:p w14:paraId="5248F24E" w14:textId="3AC2D731"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príjmy z ročného zúčtovania poistného s platiteľmi poistného,</w:t>
      </w:r>
    </w:p>
    <w:p w14:paraId="5384802A" w14:textId="57114ABF"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príjmy za poistencov štátu schválené v štátnom rozpočte na príslušný kalendárny rok,</w:t>
      </w:r>
    </w:p>
    <w:p w14:paraId="1D359F54" w14:textId="73FE7F17"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príjmy z ročného zúčtovania so štátom schválené v štátnom rozpočte na príslušný kalendárny rok,</w:t>
      </w:r>
    </w:p>
    <w:p w14:paraId="2D2E2BB7" w14:textId="2BB4F88A"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výsledok mesačného prerozdeľovania poistného,</w:t>
      </w:r>
    </w:p>
    <w:p w14:paraId="5F4FC8EC" w14:textId="3EE4B9C8"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výsledok ročného prerozdeľovania poistného,</w:t>
      </w:r>
    </w:p>
    <w:p w14:paraId="12DBDD7A" w14:textId="4840888E"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príjmy zo sankcií súvisiacich s verejným zdravotným poistením,</w:t>
      </w:r>
    </w:p>
    <w:p w14:paraId="17CC5FB3" w14:textId="7038AC72"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príjmy z predaných alebo postúpených pohľadávok, </w:t>
      </w:r>
    </w:p>
    <w:p w14:paraId="1680095B" w14:textId="38047213"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nedaňové príjmy,</w:t>
      </w:r>
    </w:p>
    <w:p w14:paraId="48F3ABCB" w14:textId="56B61259" w:rsidR="00965B9D" w:rsidRPr="00EB6D39" w:rsidRDefault="00965B9D" w:rsidP="00B9570B">
      <w:pPr>
        <w:pStyle w:val="Odsekzoznamu"/>
        <w:numPr>
          <w:ilvl w:val="0"/>
          <w:numId w:val="16"/>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granty a transfery,</w:t>
      </w:r>
    </w:p>
    <w:p w14:paraId="47126C61" w14:textId="3268C4E8" w:rsidR="00965B9D" w:rsidRPr="00EB6D39" w:rsidRDefault="00965B9D" w:rsidP="00B9570B">
      <w:pPr>
        <w:pStyle w:val="Odsekzoznamu"/>
        <w:numPr>
          <w:ilvl w:val="0"/>
          <w:numId w:val="16"/>
        </w:numPr>
        <w:spacing w:after="120" w:line="240" w:lineRule="auto"/>
        <w:ind w:hanging="709"/>
        <w:jc w:val="both"/>
        <w:rPr>
          <w:rFonts w:ascii="Times New Roman" w:hAnsi="Times New Roman" w:cs="Times New Roman"/>
          <w:sz w:val="24"/>
          <w:szCs w:val="24"/>
        </w:rPr>
      </w:pPr>
      <w:r w:rsidRPr="00EB6D39">
        <w:rPr>
          <w:rFonts w:ascii="Times New Roman" w:hAnsi="Times New Roman" w:cs="Times New Roman"/>
          <w:sz w:val="24"/>
          <w:szCs w:val="24"/>
        </w:rPr>
        <w:t>príjmové finančné operácie,</w:t>
      </w:r>
    </w:p>
    <w:p w14:paraId="2A405189" w14:textId="383F43BC" w:rsidR="00965B9D" w:rsidRPr="00EB6D39" w:rsidRDefault="00965B9D" w:rsidP="00B9570B">
      <w:pPr>
        <w:pStyle w:val="Odsekzoznamu"/>
        <w:numPr>
          <w:ilvl w:val="0"/>
          <w:numId w:val="15"/>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z výdavkov na povinné príspevky vypočítané z celkovej sumy z ročného prerozdeľovania poistného uvedenej v rozhodnutí o ročnom prerozdeľovaní poistného podľa osobitného prepisu zaslanom v predchádzajúcom kalendárnom roku na činnosť </w:t>
      </w:r>
    </w:p>
    <w:p w14:paraId="0084BE5A" w14:textId="6EE8E6A0" w:rsidR="00965B9D" w:rsidRPr="00EB6D39" w:rsidRDefault="00965B9D" w:rsidP="00B9570B">
      <w:pPr>
        <w:pStyle w:val="Odsekzoznamu"/>
        <w:numPr>
          <w:ilvl w:val="0"/>
          <w:numId w:val="17"/>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Úradu pre dohľad nad zdravotnou starostlivosťou (§ 30 zákona),  </w:t>
      </w:r>
    </w:p>
    <w:p w14:paraId="7F874467" w14:textId="2BC61E2D" w:rsidR="00965B9D" w:rsidRPr="00EB6D39" w:rsidRDefault="00C372E3" w:rsidP="00B9570B">
      <w:pPr>
        <w:pStyle w:val="Odsekzoznamu"/>
        <w:numPr>
          <w:ilvl w:val="0"/>
          <w:numId w:val="17"/>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lastRenderedPageBreak/>
        <w:t>o</w:t>
      </w:r>
      <w:r w:rsidR="00965B9D" w:rsidRPr="00EB6D39">
        <w:rPr>
          <w:rFonts w:ascii="Times New Roman" w:hAnsi="Times New Roman" w:cs="Times New Roman"/>
          <w:sz w:val="24"/>
          <w:szCs w:val="24"/>
        </w:rPr>
        <w:t>peračných stredísk tiesňového volania záchrannej zdravotnej služby (§ 8a zákona),</w:t>
      </w:r>
    </w:p>
    <w:p w14:paraId="03582F17" w14:textId="1E7851D5" w:rsidR="00965B9D" w:rsidRPr="00EB6D39" w:rsidRDefault="00965B9D" w:rsidP="00B9570B">
      <w:pPr>
        <w:pStyle w:val="Odsekzoznamu"/>
        <w:numPr>
          <w:ilvl w:val="0"/>
          <w:numId w:val="17"/>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Národného centra zdravotníckych informácií (§ 8b),</w:t>
      </w:r>
    </w:p>
    <w:p w14:paraId="6913342F" w14:textId="62514A52" w:rsidR="00965B9D" w:rsidRPr="00EB6D39" w:rsidRDefault="00965B9D" w:rsidP="00B9570B">
      <w:pPr>
        <w:pStyle w:val="Odsekzoznamu"/>
        <w:numPr>
          <w:ilvl w:val="0"/>
          <w:numId w:val="17"/>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Národného inštitútu pre hodnotu a technológie v zdravotníctve (§ 15a zákona)</w:t>
      </w:r>
    </w:p>
    <w:p w14:paraId="20C5DD12" w14:textId="77777777" w:rsidR="00965B9D" w:rsidRPr="00EB6D39" w:rsidRDefault="00965B9D" w:rsidP="002E5CA3">
      <w:pPr>
        <w:spacing w:after="0" w:line="240" w:lineRule="auto"/>
        <w:jc w:val="both"/>
        <w:rPr>
          <w:rFonts w:ascii="Times New Roman" w:hAnsi="Times New Roman" w:cs="Times New Roman"/>
          <w:sz w:val="24"/>
          <w:szCs w:val="24"/>
        </w:rPr>
      </w:pPr>
    </w:p>
    <w:p w14:paraId="45FB9E3E" w14:textId="09C95E31" w:rsidR="009256F1" w:rsidRPr="00EB6D39" w:rsidRDefault="009256F1" w:rsidP="009256F1">
      <w:pPr>
        <w:spacing w:after="0" w:line="240" w:lineRule="auto"/>
        <w:jc w:val="both"/>
        <w:rPr>
          <w:rFonts w:ascii="Times New Roman" w:hAnsi="Times New Roman" w:cs="Times New Roman"/>
        </w:rPr>
      </w:pPr>
      <w:r w:rsidRPr="00EB6D39">
        <w:rPr>
          <w:rFonts w:ascii="Times New Roman" w:eastAsiaTheme="minorEastAsia" w:hAnsi="Times New Roman" w:cs="Times New Roman"/>
          <w:b/>
          <w:bCs/>
        </w:rPr>
        <w:t xml:space="preserve">Tabuľka </w:t>
      </w:r>
      <w:r w:rsidR="009E527B" w:rsidRPr="00EB6D39">
        <w:rPr>
          <w:rFonts w:ascii="Times New Roman" w:eastAsiaTheme="minorEastAsia" w:hAnsi="Times New Roman" w:cs="Times New Roman"/>
          <w:b/>
          <w:bCs/>
        </w:rPr>
        <w:t>1</w:t>
      </w:r>
      <w:r w:rsidR="003F6971">
        <w:rPr>
          <w:rFonts w:ascii="Times New Roman" w:eastAsiaTheme="minorEastAsia" w:hAnsi="Times New Roman" w:cs="Times New Roman"/>
          <w:b/>
          <w:bCs/>
        </w:rPr>
        <w:t>1</w:t>
      </w:r>
      <w:r w:rsidRPr="00EB6D39">
        <w:rPr>
          <w:rFonts w:ascii="Times New Roman" w:eastAsiaTheme="minorEastAsia" w:hAnsi="Times New Roman" w:cs="Times New Roman"/>
          <w:b/>
          <w:bCs/>
        </w:rPr>
        <w:t>: Príspevky</w:t>
      </w:r>
    </w:p>
    <w:tbl>
      <w:tblPr>
        <w:tblW w:w="9072" w:type="dxa"/>
        <w:tblInd w:w="-5" w:type="dxa"/>
        <w:tblCellMar>
          <w:left w:w="70" w:type="dxa"/>
          <w:right w:w="70" w:type="dxa"/>
        </w:tblCellMar>
        <w:tblLook w:val="04A0" w:firstRow="1" w:lastRow="0" w:firstColumn="1" w:lastColumn="0" w:noHBand="0" w:noVBand="1"/>
      </w:tblPr>
      <w:tblGrid>
        <w:gridCol w:w="2835"/>
        <w:gridCol w:w="1134"/>
        <w:gridCol w:w="1053"/>
        <w:gridCol w:w="1051"/>
        <w:gridCol w:w="1051"/>
        <w:gridCol w:w="1098"/>
        <w:gridCol w:w="850"/>
      </w:tblGrid>
      <w:tr w:rsidR="00EB6D39" w:rsidRPr="00EB6D39" w14:paraId="3B8BEA13" w14:textId="77777777" w:rsidTr="00B9570B">
        <w:trPr>
          <w:trHeight w:val="25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1BEC7E4" w14:textId="77777777" w:rsidR="00965B9D" w:rsidRPr="00EB6D39" w:rsidRDefault="00965B9D" w:rsidP="002E5CA3">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v tis. eur, resp. v eurách</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F075330" w14:textId="77777777" w:rsidR="00965B9D" w:rsidRPr="00EB6D39" w:rsidRDefault="00965B9D" w:rsidP="002E5CA3">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2024 S k 20.2.2025 podľa ZP</w:t>
            </w:r>
          </w:p>
        </w:tc>
        <w:tc>
          <w:tcPr>
            <w:tcW w:w="1053" w:type="dxa"/>
            <w:tcBorders>
              <w:top w:val="single" w:sz="4" w:space="0" w:color="auto"/>
              <w:left w:val="nil"/>
              <w:bottom w:val="single" w:sz="4" w:space="0" w:color="auto"/>
              <w:right w:val="single" w:sz="4" w:space="0" w:color="auto"/>
            </w:tcBorders>
            <w:shd w:val="clear" w:color="auto" w:fill="auto"/>
            <w:noWrap/>
            <w:vAlign w:val="center"/>
          </w:tcPr>
          <w:p w14:paraId="070F3EB8" w14:textId="77777777" w:rsidR="00965B9D" w:rsidRPr="00EB6D39" w:rsidRDefault="00965B9D" w:rsidP="002E5CA3">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Všeobecná zdravotná poisťovňa, a. s.</w:t>
            </w:r>
          </w:p>
        </w:tc>
        <w:tc>
          <w:tcPr>
            <w:tcW w:w="1051" w:type="dxa"/>
            <w:tcBorders>
              <w:top w:val="single" w:sz="4" w:space="0" w:color="auto"/>
              <w:left w:val="nil"/>
              <w:bottom w:val="single" w:sz="4" w:space="0" w:color="auto"/>
              <w:right w:val="single" w:sz="4" w:space="0" w:color="auto"/>
            </w:tcBorders>
            <w:shd w:val="clear" w:color="auto" w:fill="auto"/>
            <w:noWrap/>
            <w:vAlign w:val="center"/>
          </w:tcPr>
          <w:p w14:paraId="6EE5CA12" w14:textId="77777777" w:rsidR="00965B9D" w:rsidRPr="00EB6D39" w:rsidRDefault="00965B9D" w:rsidP="002E5CA3">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Dôvera zdravotná poisťovňa, a. s.</w:t>
            </w:r>
          </w:p>
        </w:tc>
        <w:tc>
          <w:tcPr>
            <w:tcW w:w="1051" w:type="dxa"/>
            <w:tcBorders>
              <w:top w:val="single" w:sz="4" w:space="0" w:color="auto"/>
              <w:left w:val="nil"/>
              <w:bottom w:val="single" w:sz="4" w:space="0" w:color="auto"/>
              <w:right w:val="single" w:sz="4" w:space="0" w:color="auto"/>
            </w:tcBorders>
            <w:shd w:val="clear" w:color="auto" w:fill="auto"/>
            <w:noWrap/>
            <w:vAlign w:val="center"/>
          </w:tcPr>
          <w:p w14:paraId="0085FB58" w14:textId="77777777" w:rsidR="00965B9D" w:rsidRPr="00EB6D39" w:rsidRDefault="00965B9D" w:rsidP="002E5CA3">
            <w:pPr>
              <w:spacing w:after="0" w:line="240" w:lineRule="auto"/>
              <w:jc w:val="center"/>
              <w:rPr>
                <w:rFonts w:ascii="Times New Roman" w:eastAsia="Times New Roman" w:hAnsi="Times New Roman" w:cs="Times New Roman"/>
                <w:sz w:val="20"/>
                <w:szCs w:val="20"/>
                <w:lang w:eastAsia="sk-SK"/>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a. s.</w:t>
            </w:r>
          </w:p>
        </w:tc>
        <w:tc>
          <w:tcPr>
            <w:tcW w:w="1098" w:type="dxa"/>
            <w:tcBorders>
              <w:top w:val="single" w:sz="4" w:space="0" w:color="auto"/>
              <w:left w:val="nil"/>
              <w:bottom w:val="single" w:sz="4" w:space="0" w:color="auto"/>
              <w:right w:val="single" w:sz="4" w:space="0" w:color="auto"/>
            </w:tcBorders>
            <w:shd w:val="clear" w:color="auto" w:fill="auto"/>
            <w:noWrap/>
            <w:vAlign w:val="center"/>
          </w:tcPr>
          <w:p w14:paraId="2F081A8A" w14:textId="77777777" w:rsidR="00965B9D" w:rsidRPr="00EB6D39" w:rsidRDefault="00965B9D" w:rsidP="002E5CA3">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Spolu</w:t>
            </w:r>
          </w:p>
        </w:tc>
        <w:tc>
          <w:tcPr>
            <w:tcW w:w="850" w:type="dxa"/>
            <w:tcBorders>
              <w:top w:val="single" w:sz="4" w:space="0" w:color="auto"/>
              <w:left w:val="nil"/>
              <w:bottom w:val="single" w:sz="4" w:space="0" w:color="auto"/>
              <w:right w:val="single" w:sz="4" w:space="0" w:color="auto"/>
            </w:tcBorders>
            <w:vAlign w:val="center"/>
          </w:tcPr>
          <w:p w14:paraId="64EEE31E" w14:textId="77777777" w:rsidR="00965B9D" w:rsidRPr="00EB6D39" w:rsidRDefault="00965B9D" w:rsidP="002E5CA3">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2025 R</w:t>
            </w:r>
          </w:p>
        </w:tc>
      </w:tr>
      <w:tr w:rsidR="00EB6D39" w:rsidRPr="00EB6D39" w14:paraId="432AF624" w14:textId="77777777" w:rsidTr="00B9570B">
        <w:trPr>
          <w:trHeight w:val="25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9FB9EA" w14:textId="77777777" w:rsidR="00965B9D" w:rsidRPr="00EB6D39" w:rsidRDefault="00965B9D" w:rsidP="002E5CA3">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xml:space="preserve">  ▪ príspevok na činnosť UDZS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7AC05C5"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30 613</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4D664683"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16 950 995</w:t>
            </w:r>
          </w:p>
        </w:tc>
        <w:tc>
          <w:tcPr>
            <w:tcW w:w="1051" w:type="dxa"/>
            <w:tcBorders>
              <w:top w:val="single" w:sz="4" w:space="0" w:color="auto"/>
              <w:left w:val="nil"/>
              <w:bottom w:val="single" w:sz="4" w:space="0" w:color="auto"/>
              <w:right w:val="single" w:sz="4" w:space="0" w:color="auto"/>
            </w:tcBorders>
            <w:shd w:val="clear" w:color="auto" w:fill="auto"/>
            <w:noWrap/>
            <w:vAlign w:val="center"/>
            <w:hideMark/>
          </w:tcPr>
          <w:p w14:paraId="67ABDCC4"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7 719 126</w:t>
            </w:r>
          </w:p>
        </w:tc>
        <w:tc>
          <w:tcPr>
            <w:tcW w:w="1051" w:type="dxa"/>
            <w:tcBorders>
              <w:top w:val="single" w:sz="4" w:space="0" w:color="auto"/>
              <w:left w:val="nil"/>
              <w:bottom w:val="single" w:sz="4" w:space="0" w:color="auto"/>
              <w:right w:val="single" w:sz="4" w:space="0" w:color="auto"/>
            </w:tcBorders>
            <w:shd w:val="clear" w:color="auto" w:fill="auto"/>
            <w:noWrap/>
            <w:vAlign w:val="center"/>
            <w:hideMark/>
          </w:tcPr>
          <w:p w14:paraId="4741287D"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2 552 180</w:t>
            </w:r>
          </w:p>
        </w:tc>
        <w:tc>
          <w:tcPr>
            <w:tcW w:w="1098" w:type="dxa"/>
            <w:tcBorders>
              <w:top w:val="single" w:sz="4" w:space="0" w:color="auto"/>
              <w:left w:val="nil"/>
              <w:bottom w:val="single" w:sz="4" w:space="0" w:color="auto"/>
              <w:right w:val="single" w:sz="4" w:space="0" w:color="auto"/>
            </w:tcBorders>
            <w:shd w:val="clear" w:color="auto" w:fill="auto"/>
            <w:noWrap/>
            <w:vAlign w:val="center"/>
            <w:hideMark/>
          </w:tcPr>
          <w:p w14:paraId="29BB22B8"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27 222 300</w:t>
            </w:r>
          </w:p>
        </w:tc>
        <w:tc>
          <w:tcPr>
            <w:tcW w:w="850" w:type="dxa"/>
            <w:tcBorders>
              <w:top w:val="single" w:sz="4" w:space="0" w:color="auto"/>
              <w:left w:val="nil"/>
              <w:bottom w:val="single" w:sz="4" w:space="0" w:color="auto"/>
              <w:right w:val="single" w:sz="4" w:space="0" w:color="auto"/>
            </w:tcBorders>
          </w:tcPr>
          <w:p w14:paraId="0B2FC87C"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27 819</w:t>
            </w:r>
          </w:p>
        </w:tc>
      </w:tr>
      <w:tr w:rsidR="00EB6D39" w:rsidRPr="00EB6D39" w14:paraId="62CA6B9C" w14:textId="77777777" w:rsidTr="00B9570B">
        <w:trPr>
          <w:trHeight w:val="256"/>
        </w:trPr>
        <w:tc>
          <w:tcPr>
            <w:tcW w:w="2835" w:type="dxa"/>
            <w:tcBorders>
              <w:top w:val="nil"/>
              <w:left w:val="single" w:sz="4" w:space="0" w:color="auto"/>
              <w:bottom w:val="single" w:sz="4" w:space="0" w:color="auto"/>
              <w:right w:val="single" w:sz="4" w:space="0" w:color="auto"/>
            </w:tcBorders>
            <w:shd w:val="clear" w:color="auto" w:fill="auto"/>
            <w:vAlign w:val="center"/>
            <w:hideMark/>
          </w:tcPr>
          <w:p w14:paraId="6231ACA6" w14:textId="77777777" w:rsidR="00965B9D" w:rsidRPr="00EB6D39" w:rsidRDefault="00965B9D" w:rsidP="002E5CA3">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xml:space="preserve">  ▪ príspevok na činnosť OS ZZS</w:t>
            </w:r>
          </w:p>
        </w:tc>
        <w:tc>
          <w:tcPr>
            <w:tcW w:w="1134" w:type="dxa"/>
            <w:tcBorders>
              <w:top w:val="nil"/>
              <w:left w:val="nil"/>
              <w:bottom w:val="single" w:sz="4" w:space="0" w:color="auto"/>
              <w:right w:val="single" w:sz="4" w:space="0" w:color="auto"/>
            </w:tcBorders>
            <w:shd w:val="clear" w:color="auto" w:fill="auto"/>
            <w:noWrap/>
            <w:vAlign w:val="center"/>
            <w:hideMark/>
          </w:tcPr>
          <w:p w14:paraId="26B959E3"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23 690</w:t>
            </w:r>
          </w:p>
        </w:tc>
        <w:tc>
          <w:tcPr>
            <w:tcW w:w="1053" w:type="dxa"/>
            <w:tcBorders>
              <w:top w:val="nil"/>
              <w:left w:val="nil"/>
              <w:bottom w:val="single" w:sz="4" w:space="0" w:color="auto"/>
              <w:right w:val="single" w:sz="4" w:space="0" w:color="auto"/>
            </w:tcBorders>
            <w:shd w:val="clear" w:color="auto" w:fill="auto"/>
            <w:noWrap/>
            <w:vAlign w:val="center"/>
            <w:hideMark/>
          </w:tcPr>
          <w:p w14:paraId="2FBA1D6D"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16 950 995</w:t>
            </w:r>
          </w:p>
        </w:tc>
        <w:tc>
          <w:tcPr>
            <w:tcW w:w="1051" w:type="dxa"/>
            <w:tcBorders>
              <w:top w:val="nil"/>
              <w:left w:val="nil"/>
              <w:bottom w:val="single" w:sz="4" w:space="0" w:color="auto"/>
              <w:right w:val="single" w:sz="4" w:space="0" w:color="auto"/>
            </w:tcBorders>
            <w:shd w:val="clear" w:color="auto" w:fill="auto"/>
            <w:noWrap/>
            <w:vAlign w:val="center"/>
            <w:hideMark/>
          </w:tcPr>
          <w:p w14:paraId="1207AEC6"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7 719 126</w:t>
            </w:r>
          </w:p>
        </w:tc>
        <w:tc>
          <w:tcPr>
            <w:tcW w:w="1051" w:type="dxa"/>
            <w:tcBorders>
              <w:top w:val="nil"/>
              <w:left w:val="nil"/>
              <w:bottom w:val="single" w:sz="4" w:space="0" w:color="auto"/>
              <w:right w:val="single" w:sz="4" w:space="0" w:color="auto"/>
            </w:tcBorders>
            <w:shd w:val="clear" w:color="auto" w:fill="auto"/>
            <w:noWrap/>
            <w:vAlign w:val="center"/>
            <w:hideMark/>
          </w:tcPr>
          <w:p w14:paraId="4BC8A30B"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2 552 180</w:t>
            </w:r>
          </w:p>
        </w:tc>
        <w:tc>
          <w:tcPr>
            <w:tcW w:w="1098" w:type="dxa"/>
            <w:tcBorders>
              <w:top w:val="nil"/>
              <w:left w:val="nil"/>
              <w:bottom w:val="single" w:sz="4" w:space="0" w:color="auto"/>
              <w:right w:val="single" w:sz="4" w:space="0" w:color="auto"/>
            </w:tcBorders>
            <w:shd w:val="clear" w:color="auto" w:fill="auto"/>
            <w:noWrap/>
            <w:vAlign w:val="center"/>
            <w:hideMark/>
          </w:tcPr>
          <w:p w14:paraId="6B23B0EA"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27 222 300</w:t>
            </w:r>
          </w:p>
        </w:tc>
        <w:tc>
          <w:tcPr>
            <w:tcW w:w="850" w:type="dxa"/>
            <w:tcBorders>
              <w:top w:val="nil"/>
              <w:left w:val="nil"/>
              <w:bottom w:val="single" w:sz="4" w:space="0" w:color="auto"/>
              <w:right w:val="single" w:sz="4" w:space="0" w:color="auto"/>
            </w:tcBorders>
          </w:tcPr>
          <w:p w14:paraId="5346EBA1"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27 819</w:t>
            </w:r>
          </w:p>
        </w:tc>
      </w:tr>
      <w:tr w:rsidR="00EB6D39" w:rsidRPr="00EB6D39" w14:paraId="3D6DB8CB" w14:textId="77777777" w:rsidTr="00B9570B">
        <w:trPr>
          <w:trHeight w:val="256"/>
        </w:trPr>
        <w:tc>
          <w:tcPr>
            <w:tcW w:w="2835" w:type="dxa"/>
            <w:tcBorders>
              <w:top w:val="nil"/>
              <w:left w:val="single" w:sz="4" w:space="0" w:color="auto"/>
              <w:bottom w:val="single" w:sz="4" w:space="0" w:color="auto"/>
              <w:right w:val="single" w:sz="4" w:space="0" w:color="auto"/>
            </w:tcBorders>
            <w:shd w:val="clear" w:color="auto" w:fill="auto"/>
            <w:vAlign w:val="center"/>
            <w:hideMark/>
          </w:tcPr>
          <w:p w14:paraId="0A8F1DA3" w14:textId="77777777" w:rsidR="00965B9D" w:rsidRPr="00EB6D39" w:rsidRDefault="00965B9D" w:rsidP="002E5CA3">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xml:space="preserve">  ▪ príspevok na činnosť NCZI</w:t>
            </w:r>
          </w:p>
        </w:tc>
        <w:tc>
          <w:tcPr>
            <w:tcW w:w="1134" w:type="dxa"/>
            <w:tcBorders>
              <w:top w:val="nil"/>
              <w:left w:val="nil"/>
              <w:bottom w:val="single" w:sz="4" w:space="0" w:color="auto"/>
              <w:right w:val="single" w:sz="4" w:space="0" w:color="auto"/>
            </w:tcBorders>
            <w:shd w:val="clear" w:color="auto" w:fill="auto"/>
            <w:noWrap/>
            <w:vAlign w:val="center"/>
            <w:hideMark/>
          </w:tcPr>
          <w:p w14:paraId="2F70A126"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33 674</w:t>
            </w:r>
          </w:p>
        </w:tc>
        <w:tc>
          <w:tcPr>
            <w:tcW w:w="1053" w:type="dxa"/>
            <w:tcBorders>
              <w:top w:val="nil"/>
              <w:left w:val="nil"/>
              <w:bottom w:val="single" w:sz="4" w:space="0" w:color="auto"/>
              <w:right w:val="single" w:sz="4" w:space="0" w:color="auto"/>
            </w:tcBorders>
            <w:shd w:val="clear" w:color="auto" w:fill="auto"/>
            <w:noWrap/>
            <w:vAlign w:val="center"/>
            <w:hideMark/>
          </w:tcPr>
          <w:p w14:paraId="0EE30BB8"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18 646 094</w:t>
            </w:r>
          </w:p>
        </w:tc>
        <w:tc>
          <w:tcPr>
            <w:tcW w:w="1051" w:type="dxa"/>
            <w:tcBorders>
              <w:top w:val="nil"/>
              <w:left w:val="nil"/>
              <w:bottom w:val="single" w:sz="4" w:space="0" w:color="auto"/>
              <w:right w:val="single" w:sz="4" w:space="0" w:color="auto"/>
            </w:tcBorders>
            <w:shd w:val="clear" w:color="auto" w:fill="auto"/>
            <w:noWrap/>
            <w:vAlign w:val="center"/>
            <w:hideMark/>
          </w:tcPr>
          <w:p w14:paraId="37454E50"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8 491 038</w:t>
            </w:r>
          </w:p>
        </w:tc>
        <w:tc>
          <w:tcPr>
            <w:tcW w:w="1051" w:type="dxa"/>
            <w:tcBorders>
              <w:top w:val="nil"/>
              <w:left w:val="nil"/>
              <w:bottom w:val="single" w:sz="4" w:space="0" w:color="auto"/>
              <w:right w:val="single" w:sz="4" w:space="0" w:color="auto"/>
            </w:tcBorders>
            <w:shd w:val="clear" w:color="auto" w:fill="auto"/>
            <w:noWrap/>
            <w:vAlign w:val="center"/>
            <w:hideMark/>
          </w:tcPr>
          <w:p w14:paraId="78DA1CF0"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2 807 398</w:t>
            </w:r>
          </w:p>
        </w:tc>
        <w:tc>
          <w:tcPr>
            <w:tcW w:w="1098" w:type="dxa"/>
            <w:tcBorders>
              <w:top w:val="nil"/>
              <w:left w:val="nil"/>
              <w:bottom w:val="single" w:sz="4" w:space="0" w:color="auto"/>
              <w:right w:val="single" w:sz="4" w:space="0" w:color="auto"/>
            </w:tcBorders>
            <w:shd w:val="clear" w:color="auto" w:fill="auto"/>
            <w:noWrap/>
            <w:vAlign w:val="center"/>
            <w:hideMark/>
          </w:tcPr>
          <w:p w14:paraId="62952722"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29 944 531</w:t>
            </w:r>
          </w:p>
        </w:tc>
        <w:tc>
          <w:tcPr>
            <w:tcW w:w="850" w:type="dxa"/>
            <w:tcBorders>
              <w:top w:val="nil"/>
              <w:left w:val="nil"/>
              <w:bottom w:val="single" w:sz="4" w:space="0" w:color="auto"/>
              <w:right w:val="single" w:sz="4" w:space="0" w:color="auto"/>
            </w:tcBorders>
          </w:tcPr>
          <w:p w14:paraId="0F0B3E9D"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30 601</w:t>
            </w:r>
          </w:p>
        </w:tc>
      </w:tr>
      <w:tr w:rsidR="00EB6D39" w:rsidRPr="00EB6D39" w14:paraId="27A9E9A3" w14:textId="77777777" w:rsidTr="00B9570B">
        <w:trPr>
          <w:trHeight w:val="256"/>
        </w:trPr>
        <w:tc>
          <w:tcPr>
            <w:tcW w:w="2835" w:type="dxa"/>
            <w:tcBorders>
              <w:top w:val="nil"/>
              <w:left w:val="single" w:sz="4" w:space="0" w:color="auto"/>
              <w:bottom w:val="single" w:sz="4" w:space="0" w:color="auto"/>
              <w:right w:val="single" w:sz="4" w:space="0" w:color="auto"/>
            </w:tcBorders>
            <w:shd w:val="clear" w:color="auto" w:fill="auto"/>
            <w:vAlign w:val="center"/>
            <w:hideMark/>
          </w:tcPr>
          <w:p w14:paraId="35572095" w14:textId="77777777" w:rsidR="00965B9D" w:rsidRPr="00EB6D39" w:rsidRDefault="00965B9D" w:rsidP="002E5CA3">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xml:space="preserve">  ▪ príspevok na činnosť NIHO</w:t>
            </w:r>
          </w:p>
        </w:tc>
        <w:tc>
          <w:tcPr>
            <w:tcW w:w="1134" w:type="dxa"/>
            <w:tcBorders>
              <w:top w:val="nil"/>
              <w:left w:val="nil"/>
              <w:bottom w:val="single" w:sz="4" w:space="0" w:color="auto"/>
              <w:right w:val="single" w:sz="4" w:space="0" w:color="auto"/>
            </w:tcBorders>
            <w:shd w:val="clear" w:color="auto" w:fill="auto"/>
            <w:noWrap/>
            <w:vAlign w:val="center"/>
            <w:hideMark/>
          </w:tcPr>
          <w:p w14:paraId="6A89CFFD"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2 449</w:t>
            </w:r>
          </w:p>
        </w:tc>
        <w:tc>
          <w:tcPr>
            <w:tcW w:w="1053" w:type="dxa"/>
            <w:tcBorders>
              <w:top w:val="nil"/>
              <w:left w:val="nil"/>
              <w:bottom w:val="single" w:sz="4" w:space="0" w:color="auto"/>
              <w:right w:val="single" w:sz="4" w:space="0" w:color="auto"/>
            </w:tcBorders>
            <w:shd w:val="clear" w:color="auto" w:fill="auto"/>
            <w:noWrap/>
            <w:vAlign w:val="center"/>
            <w:hideMark/>
          </w:tcPr>
          <w:p w14:paraId="43FD1146"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1 356 080</w:t>
            </w:r>
          </w:p>
        </w:tc>
        <w:tc>
          <w:tcPr>
            <w:tcW w:w="1051" w:type="dxa"/>
            <w:tcBorders>
              <w:top w:val="nil"/>
              <w:left w:val="nil"/>
              <w:bottom w:val="single" w:sz="4" w:space="0" w:color="auto"/>
              <w:right w:val="single" w:sz="4" w:space="0" w:color="auto"/>
            </w:tcBorders>
            <w:shd w:val="clear" w:color="auto" w:fill="auto"/>
            <w:noWrap/>
            <w:vAlign w:val="center"/>
            <w:hideMark/>
          </w:tcPr>
          <w:p w14:paraId="5E8C87A4"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617 530</w:t>
            </w:r>
          </w:p>
        </w:tc>
        <w:tc>
          <w:tcPr>
            <w:tcW w:w="1051" w:type="dxa"/>
            <w:tcBorders>
              <w:top w:val="nil"/>
              <w:left w:val="nil"/>
              <w:bottom w:val="single" w:sz="4" w:space="0" w:color="auto"/>
              <w:right w:val="single" w:sz="4" w:space="0" w:color="auto"/>
            </w:tcBorders>
            <w:shd w:val="clear" w:color="auto" w:fill="auto"/>
            <w:noWrap/>
            <w:vAlign w:val="center"/>
            <w:hideMark/>
          </w:tcPr>
          <w:p w14:paraId="503C76EB"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204 174</w:t>
            </w:r>
          </w:p>
        </w:tc>
        <w:tc>
          <w:tcPr>
            <w:tcW w:w="1098" w:type="dxa"/>
            <w:tcBorders>
              <w:top w:val="nil"/>
              <w:left w:val="nil"/>
              <w:bottom w:val="single" w:sz="4" w:space="0" w:color="auto"/>
              <w:right w:val="single" w:sz="4" w:space="0" w:color="auto"/>
            </w:tcBorders>
            <w:shd w:val="clear" w:color="auto" w:fill="auto"/>
            <w:noWrap/>
            <w:vAlign w:val="center"/>
            <w:hideMark/>
          </w:tcPr>
          <w:p w14:paraId="3AAAF521"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2 177 784</w:t>
            </w:r>
          </w:p>
        </w:tc>
        <w:tc>
          <w:tcPr>
            <w:tcW w:w="850" w:type="dxa"/>
            <w:tcBorders>
              <w:top w:val="nil"/>
              <w:left w:val="nil"/>
              <w:bottom w:val="single" w:sz="4" w:space="0" w:color="auto"/>
              <w:right w:val="single" w:sz="4" w:space="0" w:color="auto"/>
            </w:tcBorders>
          </w:tcPr>
          <w:p w14:paraId="4B8AD212" w14:textId="77777777" w:rsidR="00965B9D" w:rsidRPr="00EB6D39" w:rsidRDefault="00965B9D" w:rsidP="002E5CA3">
            <w:pPr>
              <w:spacing w:after="0" w:line="240" w:lineRule="auto"/>
              <w:jc w:val="right"/>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2 226</w:t>
            </w:r>
          </w:p>
        </w:tc>
      </w:tr>
    </w:tbl>
    <w:p w14:paraId="3C74D7AD" w14:textId="77777777" w:rsidR="00965B9D" w:rsidRPr="00EB6D39" w:rsidRDefault="00965B9D" w:rsidP="002E5CA3">
      <w:pPr>
        <w:spacing w:after="0" w:line="240" w:lineRule="auto"/>
        <w:jc w:val="both"/>
        <w:rPr>
          <w:rFonts w:ascii="Times New Roman" w:hAnsi="Times New Roman" w:cs="Times New Roman"/>
          <w:sz w:val="24"/>
          <w:szCs w:val="24"/>
        </w:rPr>
      </w:pPr>
    </w:p>
    <w:p w14:paraId="6982C9EF" w14:textId="21723CE1" w:rsidR="00965B9D" w:rsidRPr="00EB6D39" w:rsidRDefault="00965B9D" w:rsidP="00B9570B">
      <w:pPr>
        <w:pStyle w:val="Odsekzoznamu"/>
        <w:numPr>
          <w:ilvl w:val="0"/>
          <w:numId w:val="15"/>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 výdavkov na inú činnosť ako sú náklady na zdravotnú starostlivosť a zákonom stanovené príspevky vrátane zmeny stavu technických rezerv (ďalej len „výdavky na prevádzkovú činnosť“); výdavkami na prevádzkovú činnosť sa na účely tejto vyhlášky rozumejú mzdové výdavky, výdavky na tovary a služby (výdavky na informačný systém a komunikačnú infraštruktúru, prevádzkové výdavky (energie, materiál), propagáciu, reklamu a inzerciu), ostatné služby okrem výdavkov na trovy na zastavenie starých exekúcií, realizované v období, za ktoré sa údaje poskytujú, a kapitálové výdavky, vypočítané podľa § 6a zákona,</w:t>
      </w:r>
    </w:p>
    <w:p w14:paraId="166A5F46" w14:textId="53507D27" w:rsidR="00965B9D" w:rsidRPr="00EB6D39" w:rsidRDefault="00965B9D" w:rsidP="002E5CA3">
      <w:pPr>
        <w:pStyle w:val="Odsekzoznamu"/>
        <w:numPr>
          <w:ilvl w:val="0"/>
          <w:numId w:val="15"/>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 ostatných výdavkov; ostatnými výdavkami sa na účely tejto vyhláškou rozumejú výdavky, ktorými sú penále, úroky z omeškania, iné sankcie, uhradené dane, uhradené trovy na zastavenie starých exekúcií,</w:t>
      </w:r>
      <w:r w:rsidR="001B23A2" w:rsidRPr="00EB6D39">
        <w:rPr>
          <w:rFonts w:ascii="Times New Roman" w:hAnsi="Times New Roman" w:cs="Times New Roman"/>
          <w:sz w:val="24"/>
          <w:szCs w:val="24"/>
        </w:rPr>
        <w:t xml:space="preserve"> </w:t>
      </w:r>
      <w:r w:rsidRPr="00EB6D39">
        <w:rPr>
          <w:rFonts w:ascii="Times New Roman" w:hAnsi="Times New Roman" w:cs="Times New Roman"/>
          <w:sz w:val="24"/>
          <w:szCs w:val="24"/>
        </w:rPr>
        <w:t>Nateraz sú zahrnuté v prevádzkových výdavkoch.</w:t>
      </w:r>
    </w:p>
    <w:p w14:paraId="09D5B3D6" w14:textId="7A46148A" w:rsidR="00965B9D" w:rsidRPr="00EB6D39" w:rsidRDefault="00965B9D" w:rsidP="00B9570B">
      <w:pPr>
        <w:pStyle w:val="Odsekzoznamu"/>
        <w:numPr>
          <w:ilvl w:val="0"/>
          <w:numId w:val="15"/>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z výdavkových finančných operácií; výdavkovými finančnými operáciami sa na účely tejto vyhlášky rozumejú výdavky na splácanie tuzemskej istiny, vrátenie finančnej zábezpeky, úhrada záväzku voči akcionárom, výplata dividend, úhrada akcionárovi po znížení rezervného fondu, výdavky z transakcií s finančných aktív a pasív (FO) - vrátená finančná zábezpeka.</w:t>
      </w:r>
    </w:p>
    <w:p w14:paraId="30614B83" w14:textId="77777777" w:rsidR="00DB4FED" w:rsidRPr="00EB6D39" w:rsidRDefault="00DB4FED" w:rsidP="002E5CA3">
      <w:pPr>
        <w:spacing w:after="0" w:line="240" w:lineRule="auto"/>
        <w:jc w:val="both"/>
        <w:rPr>
          <w:rFonts w:ascii="Times New Roman" w:hAnsi="Times New Roman" w:cs="Times New Roman"/>
          <w:b/>
          <w:bCs/>
          <w:sz w:val="24"/>
          <w:szCs w:val="24"/>
        </w:rPr>
      </w:pPr>
    </w:p>
    <w:p w14:paraId="6C39551E" w14:textId="046EF95E"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odseku 5</w:t>
      </w:r>
    </w:p>
    <w:p w14:paraId="6E8354C9" w14:textId="541A1D15" w:rsidR="00965B9D" w:rsidRPr="00EB6D39" w:rsidRDefault="001B23A2"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Ustanovuje sa ako sa vypočítajú disponibilné zdroje. </w:t>
      </w:r>
      <w:r w:rsidR="00965B9D" w:rsidRPr="00EB6D39">
        <w:rPr>
          <w:rFonts w:ascii="Times New Roman" w:hAnsi="Times New Roman" w:cs="Times New Roman"/>
          <w:sz w:val="24"/>
          <w:szCs w:val="24"/>
        </w:rPr>
        <w:t>Disponibilné zdroje sa vypočítajú ako rozdiel sumy podľa odseku 4 písm. a) a súm podľa odseku 4 písm. b) až e).</w:t>
      </w:r>
    </w:p>
    <w:p w14:paraId="52D8C214" w14:textId="1F9ABB8E" w:rsidR="00965B9D" w:rsidRPr="00EB6D39" w:rsidRDefault="00965B9D" w:rsidP="002E5CA3">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Celkové príjmy VZP spolu so zostatkami na účtoch zdravotných poisťovní sa očakávajú na úrovni 9 mld. eur.</w:t>
      </w:r>
    </w:p>
    <w:p w14:paraId="7CBDE60F" w14:textId="77777777" w:rsidR="00F22F9C" w:rsidRPr="00EB6D39" w:rsidRDefault="00F22F9C" w:rsidP="002E5CA3">
      <w:pPr>
        <w:spacing w:after="0" w:line="240" w:lineRule="auto"/>
        <w:jc w:val="both"/>
        <w:rPr>
          <w:rFonts w:ascii="Times New Roman" w:hAnsi="Times New Roman" w:cs="Times New Roman"/>
          <w:b/>
          <w:bCs/>
          <w:sz w:val="24"/>
          <w:szCs w:val="24"/>
        </w:rPr>
      </w:pPr>
    </w:p>
    <w:p w14:paraId="730B4D67" w14:textId="282AA51C"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 3</w:t>
      </w:r>
    </w:p>
    <w:p w14:paraId="13A562DB" w14:textId="77777777"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odsekom 1 a 2</w:t>
      </w:r>
    </w:p>
    <w:p w14:paraId="4ACE178B" w14:textId="0A761C66" w:rsidR="00965B9D" w:rsidRPr="00EB6D39" w:rsidRDefault="001B23A2"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Navrhuje sa ustanoviť, čo je východiskom pre určenie percentuálnych podielov pre typy zdravotnej starostlivosti. </w:t>
      </w:r>
      <w:r w:rsidR="00965B9D" w:rsidRPr="00EB6D39">
        <w:rPr>
          <w:rFonts w:ascii="Times New Roman" w:hAnsi="Times New Roman" w:cs="Times New Roman"/>
          <w:sz w:val="24"/>
          <w:szCs w:val="24"/>
        </w:rPr>
        <w:t>Východiskom pre určenie percentuálnych podielov pre typy zdravotnej starostlivosti pre jednotlivé zdravotné poisťovne na príslušný kalendárny rok (ďalej len „podiel“) sú výdavky jednotlivých zdravotných poisťovní podľa typov zdravotnej starostlivosti podľa § 1 ods. 1</w:t>
      </w:r>
      <w:r w:rsidR="00B9570B" w:rsidRPr="00EB6D39">
        <w:rPr>
          <w:rFonts w:ascii="Times New Roman" w:hAnsi="Times New Roman" w:cs="Times New Roman"/>
          <w:sz w:val="24"/>
          <w:szCs w:val="24"/>
        </w:rPr>
        <w:t>:</w:t>
      </w:r>
    </w:p>
    <w:p w14:paraId="5F69FADF" w14:textId="07AA5303" w:rsidR="00965B9D" w:rsidRPr="00EB6D39" w:rsidRDefault="00965B9D" w:rsidP="00B9570B">
      <w:pPr>
        <w:pStyle w:val="Odsekzoznamu"/>
        <w:numPr>
          <w:ilvl w:val="0"/>
          <w:numId w:val="20"/>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za kalendárny rok, ktorý dva roky predchádza kalendárnemu roku, na ktorý sa podiel určuje, </w:t>
      </w:r>
    </w:p>
    <w:p w14:paraId="7FCA32DF" w14:textId="1B78A622" w:rsidR="00965B9D" w:rsidRPr="00EB6D39" w:rsidRDefault="00965B9D" w:rsidP="00B9570B">
      <w:pPr>
        <w:pStyle w:val="Odsekzoznamu"/>
        <w:numPr>
          <w:ilvl w:val="0"/>
          <w:numId w:val="20"/>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 xml:space="preserve">za kalendárny rok, ktorý predchádza kalendárnemu roku, na ktorý sa podiel určuje, </w:t>
      </w:r>
    </w:p>
    <w:p w14:paraId="0B0E8A81" w14:textId="560307C2" w:rsidR="00965B9D" w:rsidRPr="00EB6D39" w:rsidRDefault="00965B9D" w:rsidP="00B9570B">
      <w:pPr>
        <w:pStyle w:val="Odsekzoznamu"/>
        <w:numPr>
          <w:ilvl w:val="0"/>
          <w:numId w:val="20"/>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určené v štátnom rozpočte na príslušný kalendárny rok</w:t>
      </w:r>
    </w:p>
    <w:p w14:paraId="47E42325" w14:textId="50CA1E5B" w:rsidR="00965B9D" w:rsidRPr="00EB6D39" w:rsidRDefault="00965B9D" w:rsidP="00B9570B">
      <w:pPr>
        <w:pStyle w:val="Odsekzoznamu"/>
        <w:numPr>
          <w:ilvl w:val="0"/>
          <w:numId w:val="20"/>
        </w:num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navrhnuté zdravotnými poisťovňami zohľadňujúce prepoistenie v príslušnom kalendárnom roku a potreby poistencov podľa svojho poistného kmeňa poistencov.</w:t>
      </w:r>
    </w:p>
    <w:p w14:paraId="1D57A6ED" w14:textId="13EF178B"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lastRenderedPageBreak/>
        <w:t>K odseku 3</w:t>
      </w:r>
    </w:p>
    <w:p w14:paraId="46ABA08C" w14:textId="77777777" w:rsidR="00965B9D" w:rsidRPr="00EB6D39" w:rsidRDefault="00965B9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Ak ide o ústavnú zdravotnú starostlivosť, pri ktorej sa uplatňuje klasifikačný systém, podiel jednotlivých zdravotných poisťovní sa určí ako podiel zdravotných poisťovní na celkovom súčte efektívnych relatívnych váh za všetky hospitalizačné prípady uhrádzané podľa klasifikačného systému za obdobie od 1. júla kalendárneho roka, ktorý dva roky predchádza roku, na ktorý sa vydáva tento všeobecne záväzný právny predpis, do 30. júna kalendárneho roka, ktorý jeden rok predchádza roku, na ktorý sa podiel určuje po zohľadnení prepoistenia poistencov k 1. januáru kalendárneho roka, na ktorý sa podiel určuje.</w:t>
      </w:r>
    </w:p>
    <w:p w14:paraId="595D49F2" w14:textId="77777777" w:rsidR="009256F1" w:rsidRPr="00EB6D39" w:rsidRDefault="009256F1" w:rsidP="009256F1">
      <w:pPr>
        <w:spacing w:after="0" w:line="240" w:lineRule="auto"/>
        <w:jc w:val="both"/>
        <w:rPr>
          <w:rFonts w:ascii="Times New Roman" w:eastAsiaTheme="minorEastAsia" w:hAnsi="Times New Roman" w:cs="Times New Roman"/>
          <w:b/>
          <w:bCs/>
        </w:rPr>
      </w:pPr>
    </w:p>
    <w:p w14:paraId="62248C9C" w14:textId="5A3F7498" w:rsidR="009256F1" w:rsidRPr="00EB6D39" w:rsidRDefault="009256F1" w:rsidP="009256F1">
      <w:pPr>
        <w:spacing w:after="0" w:line="240" w:lineRule="auto"/>
        <w:jc w:val="both"/>
        <w:rPr>
          <w:rFonts w:ascii="Times New Roman" w:hAnsi="Times New Roman" w:cs="Times New Roman"/>
        </w:rPr>
      </w:pPr>
      <w:r w:rsidRPr="00EB6D39">
        <w:rPr>
          <w:rFonts w:ascii="Times New Roman" w:eastAsiaTheme="minorEastAsia" w:hAnsi="Times New Roman" w:cs="Times New Roman"/>
          <w:b/>
          <w:bCs/>
        </w:rPr>
        <w:t xml:space="preserve">Tabuľka </w:t>
      </w:r>
      <w:r w:rsidR="009E527B" w:rsidRPr="00EB6D39">
        <w:rPr>
          <w:rFonts w:ascii="Times New Roman" w:eastAsiaTheme="minorEastAsia" w:hAnsi="Times New Roman" w:cs="Times New Roman"/>
          <w:b/>
          <w:bCs/>
        </w:rPr>
        <w:t>1</w:t>
      </w:r>
      <w:r w:rsidR="003F6971">
        <w:rPr>
          <w:rFonts w:ascii="Times New Roman" w:eastAsiaTheme="minorEastAsia" w:hAnsi="Times New Roman" w:cs="Times New Roman"/>
          <w:b/>
          <w:bCs/>
        </w:rPr>
        <w:t>2</w:t>
      </w:r>
      <w:r w:rsidRPr="00EB6D39">
        <w:rPr>
          <w:rFonts w:ascii="Times New Roman" w:eastAsiaTheme="minorEastAsia" w:hAnsi="Times New Roman" w:cs="Times New Roman"/>
          <w:b/>
          <w:bCs/>
        </w:rPr>
        <w:t>: DRG podiely z roku 2023</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2126"/>
        <w:gridCol w:w="1701"/>
        <w:gridCol w:w="1843"/>
      </w:tblGrid>
      <w:tr w:rsidR="00EB6D39" w:rsidRPr="00EB6D39" w14:paraId="2CF6A86A" w14:textId="77777777" w:rsidTr="00B9570B">
        <w:trPr>
          <w:trHeight w:val="255"/>
        </w:trPr>
        <w:tc>
          <w:tcPr>
            <w:tcW w:w="3397" w:type="dxa"/>
          </w:tcPr>
          <w:p w14:paraId="413AFB84" w14:textId="77777777" w:rsidR="00965B9D" w:rsidRPr="00EB6D39" w:rsidRDefault="00965B9D" w:rsidP="002E5CA3">
            <w:pPr>
              <w:spacing w:after="0" w:line="240" w:lineRule="auto"/>
              <w:jc w:val="right"/>
              <w:rPr>
                <w:rFonts w:ascii="Times New Roman" w:eastAsia="Times New Roman" w:hAnsi="Times New Roman" w:cs="Times New Roman"/>
                <w:sz w:val="24"/>
                <w:szCs w:val="24"/>
                <w:lang w:eastAsia="sk-SK"/>
              </w:rPr>
            </w:pPr>
          </w:p>
        </w:tc>
        <w:tc>
          <w:tcPr>
            <w:tcW w:w="2126" w:type="dxa"/>
            <w:shd w:val="clear" w:color="auto" w:fill="auto"/>
            <w:noWrap/>
            <w:vAlign w:val="center"/>
          </w:tcPr>
          <w:p w14:paraId="0ECFDCEF" w14:textId="77777777" w:rsidR="00965B9D" w:rsidRPr="00EB6D39" w:rsidRDefault="00965B9D" w:rsidP="002E5CA3">
            <w:pPr>
              <w:spacing w:after="0" w:line="240" w:lineRule="auto"/>
              <w:jc w:val="center"/>
              <w:rPr>
                <w:rFonts w:ascii="Times New Roman" w:eastAsia="Times New Roman" w:hAnsi="Times New Roman" w:cs="Times New Roman"/>
                <w:sz w:val="24"/>
                <w:szCs w:val="24"/>
                <w:lang w:eastAsia="sk-SK"/>
              </w:rPr>
            </w:pPr>
            <w:r w:rsidRPr="00EB6D39">
              <w:rPr>
                <w:rFonts w:ascii="Times New Roman" w:eastAsia="Times New Roman" w:hAnsi="Times New Roman" w:cs="Times New Roman"/>
                <w:b/>
                <w:bCs/>
                <w:sz w:val="24"/>
                <w:szCs w:val="24"/>
                <w:lang w:eastAsia="sk-SK"/>
              </w:rPr>
              <w:t>Všeobecná zdravotná poisťovňa, a. s.</w:t>
            </w:r>
          </w:p>
        </w:tc>
        <w:tc>
          <w:tcPr>
            <w:tcW w:w="1701" w:type="dxa"/>
            <w:shd w:val="clear" w:color="auto" w:fill="auto"/>
            <w:noWrap/>
            <w:vAlign w:val="center"/>
          </w:tcPr>
          <w:p w14:paraId="575B7877" w14:textId="77777777" w:rsidR="00965B9D" w:rsidRPr="00EB6D39" w:rsidRDefault="00965B9D" w:rsidP="002E5CA3">
            <w:pPr>
              <w:spacing w:after="0" w:line="240" w:lineRule="auto"/>
              <w:jc w:val="center"/>
              <w:rPr>
                <w:rFonts w:ascii="Times New Roman" w:eastAsia="Times New Roman" w:hAnsi="Times New Roman" w:cs="Times New Roman"/>
                <w:sz w:val="24"/>
                <w:szCs w:val="24"/>
                <w:lang w:eastAsia="sk-SK"/>
              </w:rPr>
            </w:pPr>
            <w:r w:rsidRPr="00EB6D39">
              <w:rPr>
                <w:rFonts w:ascii="Times New Roman" w:eastAsia="Times New Roman" w:hAnsi="Times New Roman" w:cs="Times New Roman"/>
                <w:b/>
                <w:bCs/>
                <w:sz w:val="24"/>
                <w:szCs w:val="24"/>
                <w:lang w:eastAsia="sk-SK"/>
              </w:rPr>
              <w:t>Dôvera zdravotná poisťovňa, a. s.</w:t>
            </w:r>
          </w:p>
        </w:tc>
        <w:tc>
          <w:tcPr>
            <w:tcW w:w="1843" w:type="dxa"/>
            <w:shd w:val="clear" w:color="auto" w:fill="auto"/>
            <w:noWrap/>
            <w:vAlign w:val="center"/>
          </w:tcPr>
          <w:p w14:paraId="6B295D8C" w14:textId="77777777" w:rsidR="00965B9D" w:rsidRPr="00EB6D39" w:rsidRDefault="00965B9D" w:rsidP="002E5CA3">
            <w:pPr>
              <w:spacing w:after="0" w:line="240" w:lineRule="auto"/>
              <w:jc w:val="center"/>
              <w:rPr>
                <w:rFonts w:ascii="Times New Roman" w:eastAsia="Times New Roman" w:hAnsi="Times New Roman" w:cs="Times New Roman"/>
                <w:sz w:val="24"/>
                <w:szCs w:val="24"/>
                <w:lang w:eastAsia="sk-SK"/>
              </w:rPr>
            </w:pPr>
            <w:proofErr w:type="spellStart"/>
            <w:r w:rsidRPr="00EB6D39">
              <w:rPr>
                <w:rFonts w:ascii="Times New Roman" w:eastAsia="Times New Roman" w:hAnsi="Times New Roman" w:cs="Times New Roman"/>
                <w:b/>
                <w:bCs/>
                <w:sz w:val="24"/>
                <w:szCs w:val="24"/>
                <w:lang w:eastAsia="sk-SK"/>
              </w:rPr>
              <w:t>Union</w:t>
            </w:r>
            <w:proofErr w:type="spellEnd"/>
            <w:r w:rsidRPr="00EB6D39">
              <w:rPr>
                <w:rFonts w:ascii="Times New Roman" w:eastAsia="Times New Roman" w:hAnsi="Times New Roman" w:cs="Times New Roman"/>
                <w:b/>
                <w:bCs/>
                <w:sz w:val="24"/>
                <w:szCs w:val="24"/>
                <w:lang w:eastAsia="sk-SK"/>
              </w:rPr>
              <w:t xml:space="preserve"> zdravotná poisťovňa, a. s.</w:t>
            </w:r>
          </w:p>
        </w:tc>
      </w:tr>
      <w:tr w:rsidR="00EB6D39" w:rsidRPr="00EB6D39" w14:paraId="3A895606" w14:textId="77777777" w:rsidTr="00B9570B">
        <w:trPr>
          <w:trHeight w:val="255"/>
        </w:trPr>
        <w:tc>
          <w:tcPr>
            <w:tcW w:w="3397" w:type="dxa"/>
          </w:tcPr>
          <w:p w14:paraId="0DA7BB5C" w14:textId="229036D8" w:rsidR="00965B9D" w:rsidRPr="00EB6D39" w:rsidRDefault="00965B9D" w:rsidP="00B9570B">
            <w:pPr>
              <w:spacing w:after="0" w:line="240" w:lineRule="auto"/>
              <w:rPr>
                <w:rFonts w:ascii="Times New Roman" w:eastAsia="Times New Roman" w:hAnsi="Times New Roman" w:cs="Times New Roman"/>
                <w:sz w:val="24"/>
                <w:szCs w:val="24"/>
                <w:lang w:eastAsia="sk-SK"/>
              </w:rPr>
            </w:pPr>
            <w:r w:rsidRPr="00EB6D39">
              <w:rPr>
                <w:rFonts w:ascii="Times New Roman" w:eastAsia="Times New Roman" w:hAnsi="Times New Roman" w:cs="Times New Roman"/>
                <w:sz w:val="24"/>
                <w:szCs w:val="24"/>
                <w:lang w:eastAsia="sk-SK"/>
              </w:rPr>
              <w:t>DRG podiely z roku 2023</w:t>
            </w:r>
          </w:p>
        </w:tc>
        <w:tc>
          <w:tcPr>
            <w:tcW w:w="2126" w:type="dxa"/>
            <w:shd w:val="clear" w:color="auto" w:fill="auto"/>
            <w:noWrap/>
            <w:vAlign w:val="bottom"/>
            <w:hideMark/>
          </w:tcPr>
          <w:p w14:paraId="76CB6B85" w14:textId="77777777" w:rsidR="00965B9D" w:rsidRPr="00EB6D39" w:rsidRDefault="00965B9D" w:rsidP="00B9570B">
            <w:pPr>
              <w:spacing w:after="0" w:line="240" w:lineRule="auto"/>
              <w:jc w:val="center"/>
              <w:rPr>
                <w:rFonts w:ascii="Times New Roman" w:eastAsia="Times New Roman" w:hAnsi="Times New Roman" w:cs="Times New Roman"/>
                <w:sz w:val="24"/>
                <w:szCs w:val="24"/>
                <w:lang w:eastAsia="sk-SK"/>
              </w:rPr>
            </w:pPr>
            <w:r w:rsidRPr="00EB6D39">
              <w:rPr>
                <w:rFonts w:ascii="Times New Roman" w:eastAsia="Times New Roman" w:hAnsi="Times New Roman" w:cs="Times New Roman"/>
                <w:sz w:val="24"/>
                <w:szCs w:val="24"/>
                <w:lang w:eastAsia="sk-SK"/>
              </w:rPr>
              <w:t>61,27%</w:t>
            </w:r>
          </w:p>
        </w:tc>
        <w:tc>
          <w:tcPr>
            <w:tcW w:w="1701" w:type="dxa"/>
            <w:shd w:val="clear" w:color="auto" w:fill="auto"/>
            <w:noWrap/>
            <w:vAlign w:val="bottom"/>
            <w:hideMark/>
          </w:tcPr>
          <w:p w14:paraId="74E8C8DF" w14:textId="4EAF3A2D" w:rsidR="00965B9D" w:rsidRPr="00EB6D39" w:rsidRDefault="00965B9D" w:rsidP="00B9570B">
            <w:pPr>
              <w:spacing w:after="0" w:line="240" w:lineRule="auto"/>
              <w:jc w:val="center"/>
              <w:rPr>
                <w:rFonts w:ascii="Times New Roman" w:eastAsia="Times New Roman" w:hAnsi="Times New Roman" w:cs="Times New Roman"/>
                <w:sz w:val="24"/>
                <w:szCs w:val="24"/>
                <w:lang w:eastAsia="sk-SK"/>
              </w:rPr>
            </w:pPr>
            <w:r w:rsidRPr="00EB6D39">
              <w:rPr>
                <w:rFonts w:ascii="Times New Roman" w:eastAsia="Times New Roman" w:hAnsi="Times New Roman" w:cs="Times New Roman"/>
                <w:sz w:val="24"/>
                <w:szCs w:val="24"/>
                <w:lang w:eastAsia="sk-SK"/>
              </w:rPr>
              <w:t>29,38%</w:t>
            </w:r>
          </w:p>
        </w:tc>
        <w:tc>
          <w:tcPr>
            <w:tcW w:w="1843" w:type="dxa"/>
            <w:shd w:val="clear" w:color="auto" w:fill="auto"/>
            <w:noWrap/>
            <w:vAlign w:val="bottom"/>
            <w:hideMark/>
          </w:tcPr>
          <w:p w14:paraId="216F0115" w14:textId="77777777" w:rsidR="00965B9D" w:rsidRPr="00EB6D39" w:rsidRDefault="00965B9D" w:rsidP="00B9570B">
            <w:pPr>
              <w:spacing w:after="0" w:line="240" w:lineRule="auto"/>
              <w:jc w:val="center"/>
              <w:rPr>
                <w:rFonts w:ascii="Times New Roman" w:eastAsia="Times New Roman" w:hAnsi="Times New Roman" w:cs="Times New Roman"/>
                <w:sz w:val="24"/>
                <w:szCs w:val="24"/>
                <w:lang w:eastAsia="sk-SK"/>
              </w:rPr>
            </w:pPr>
            <w:r w:rsidRPr="00EB6D39">
              <w:rPr>
                <w:rFonts w:ascii="Times New Roman" w:eastAsia="Times New Roman" w:hAnsi="Times New Roman" w:cs="Times New Roman"/>
                <w:sz w:val="24"/>
                <w:szCs w:val="24"/>
                <w:lang w:eastAsia="sk-SK"/>
              </w:rPr>
              <w:t>9,35%</w:t>
            </w:r>
          </w:p>
        </w:tc>
      </w:tr>
    </w:tbl>
    <w:p w14:paraId="5228E7D6" w14:textId="04A42267" w:rsidR="00927008" w:rsidRPr="00EB6D39" w:rsidRDefault="00927008" w:rsidP="0043689D">
      <w:pPr>
        <w:spacing w:after="0" w:line="240" w:lineRule="auto"/>
        <w:jc w:val="right"/>
        <w:rPr>
          <w:rFonts w:ascii="Times New Roman" w:hAnsi="Times New Roman" w:cs="Times New Roman"/>
          <w:sz w:val="24"/>
          <w:szCs w:val="24"/>
        </w:rPr>
      </w:pPr>
      <w:r w:rsidRPr="00EB6D39">
        <w:rPr>
          <w:rFonts w:ascii="Times New Roman" w:hAnsi="Times New Roman" w:cs="Times New Roman"/>
          <w:sz w:val="18"/>
          <w:szCs w:val="18"/>
        </w:rPr>
        <w:t>Zdroj: C</w:t>
      </w:r>
      <w:r w:rsidR="002043E6" w:rsidRPr="00EB6D39">
        <w:rPr>
          <w:rFonts w:ascii="Times New Roman" w:hAnsi="Times New Roman" w:cs="Times New Roman"/>
          <w:sz w:val="18"/>
          <w:szCs w:val="18"/>
        </w:rPr>
        <w:t>KS</w:t>
      </w:r>
    </w:p>
    <w:p w14:paraId="35886C55" w14:textId="77777777" w:rsidR="00423668" w:rsidRPr="00EB6D39" w:rsidRDefault="00423668" w:rsidP="0043689D">
      <w:pPr>
        <w:spacing w:after="0" w:line="240" w:lineRule="auto"/>
        <w:ind w:firstLine="708"/>
        <w:jc w:val="both"/>
        <w:rPr>
          <w:rFonts w:ascii="Times New Roman" w:hAnsi="Times New Roman" w:cs="Times New Roman"/>
          <w:sz w:val="24"/>
          <w:szCs w:val="24"/>
        </w:rPr>
      </w:pPr>
    </w:p>
    <w:p w14:paraId="7ED32C7E" w14:textId="43D09F9F" w:rsidR="00965B9D" w:rsidRPr="00EB6D39" w:rsidRDefault="00965B9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Pre riadok „Ústavná zdravotná starostlivosť poskytovaná v</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nemocniciach, ktoré sú uvedené v</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zozname nemocníc podľa osobitného zákona (§ 45 ods</w:t>
      </w:r>
      <w:r w:rsidR="00E16227" w:rsidRPr="00EB6D39">
        <w:rPr>
          <w:rFonts w:ascii="Times New Roman" w:hAnsi="Times New Roman" w:cs="Times New Roman"/>
          <w:sz w:val="24"/>
          <w:szCs w:val="24"/>
        </w:rPr>
        <w:t>.</w:t>
      </w:r>
      <w:r w:rsidRPr="00EB6D39">
        <w:rPr>
          <w:rFonts w:ascii="Times New Roman" w:hAnsi="Times New Roman" w:cs="Times New Roman"/>
          <w:sz w:val="24"/>
          <w:szCs w:val="24"/>
        </w:rPr>
        <w:t xml:space="preserve"> 6 zákona č. 576/2004 Z. z. o</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zdravotnej starostlivosti, službách súvisiacich s</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poskytovaním zdravotnej starostlivosti a</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o</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zmene a</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doplnení niektorých zákonov) nad rámec riadku ústavná zdravotná starostlivosť bol použitý podiel po prerozdeľovaní poistného v</w:t>
      </w:r>
      <w:r w:rsidR="00927008" w:rsidRPr="00EB6D39">
        <w:rPr>
          <w:rFonts w:ascii="Times New Roman" w:hAnsi="Times New Roman" w:cs="Times New Roman"/>
          <w:sz w:val="24"/>
          <w:szCs w:val="24"/>
        </w:rPr>
        <w:t> </w:t>
      </w:r>
      <w:r w:rsidRPr="00EB6D39">
        <w:rPr>
          <w:rFonts w:ascii="Times New Roman" w:hAnsi="Times New Roman" w:cs="Times New Roman"/>
          <w:sz w:val="24"/>
          <w:szCs w:val="24"/>
        </w:rPr>
        <w:t>roku 2025:</w:t>
      </w:r>
    </w:p>
    <w:p w14:paraId="13A397AC" w14:textId="77777777" w:rsidR="009256F1" w:rsidRPr="00EB6D39" w:rsidRDefault="009256F1" w:rsidP="002E5CA3">
      <w:pPr>
        <w:spacing w:after="0" w:line="240" w:lineRule="auto"/>
        <w:jc w:val="both"/>
        <w:rPr>
          <w:rFonts w:ascii="Times New Roman" w:hAnsi="Times New Roman" w:cs="Times New Roman"/>
          <w:sz w:val="24"/>
          <w:szCs w:val="24"/>
        </w:rPr>
      </w:pPr>
    </w:p>
    <w:p w14:paraId="66B90B04" w14:textId="03D7E58B" w:rsidR="009256F1" w:rsidRPr="00EB6D39" w:rsidRDefault="009256F1" w:rsidP="009256F1">
      <w:pPr>
        <w:spacing w:after="0" w:line="240" w:lineRule="auto"/>
        <w:jc w:val="both"/>
        <w:rPr>
          <w:rFonts w:ascii="Times New Roman" w:hAnsi="Times New Roman" w:cs="Times New Roman"/>
        </w:rPr>
      </w:pPr>
      <w:r w:rsidRPr="00EB6D39">
        <w:rPr>
          <w:rFonts w:ascii="Times New Roman" w:eastAsiaTheme="minorEastAsia" w:hAnsi="Times New Roman" w:cs="Times New Roman"/>
          <w:b/>
          <w:bCs/>
        </w:rPr>
        <w:t>Tabuľka 1</w:t>
      </w:r>
      <w:r w:rsidR="003F6971">
        <w:rPr>
          <w:rFonts w:ascii="Times New Roman" w:eastAsiaTheme="minorEastAsia" w:hAnsi="Times New Roman" w:cs="Times New Roman"/>
          <w:b/>
          <w:bCs/>
        </w:rPr>
        <w:t>3</w:t>
      </w:r>
      <w:r w:rsidRPr="00EB6D39">
        <w:rPr>
          <w:rFonts w:ascii="Times New Roman" w:eastAsiaTheme="minorEastAsia" w:hAnsi="Times New Roman" w:cs="Times New Roman"/>
          <w:b/>
          <w:bCs/>
        </w:rPr>
        <w:t xml:space="preserve">: </w:t>
      </w:r>
      <w:r w:rsidR="001C1802" w:rsidRPr="00EB6D39">
        <w:rPr>
          <w:rFonts w:ascii="Times New Roman" w:eastAsiaTheme="minorEastAsia" w:hAnsi="Times New Roman" w:cs="Times New Roman"/>
          <w:b/>
          <w:bCs/>
        </w:rPr>
        <w:t>Predpokladaný p</w:t>
      </w:r>
      <w:r w:rsidRPr="00EB6D39">
        <w:rPr>
          <w:rFonts w:ascii="Times New Roman" w:eastAsiaTheme="minorEastAsia" w:hAnsi="Times New Roman" w:cs="Times New Roman"/>
          <w:b/>
          <w:bCs/>
        </w:rPr>
        <w:t>odiel po prerozdeľovaní z</w:t>
      </w:r>
      <w:r w:rsidR="00927008" w:rsidRPr="00EB6D39">
        <w:rPr>
          <w:rFonts w:ascii="Times New Roman" w:eastAsiaTheme="minorEastAsia" w:hAnsi="Times New Roman" w:cs="Times New Roman"/>
          <w:b/>
          <w:bCs/>
        </w:rPr>
        <w:t> </w:t>
      </w:r>
      <w:r w:rsidRPr="00EB6D39">
        <w:rPr>
          <w:rFonts w:ascii="Times New Roman" w:eastAsiaTheme="minorEastAsia" w:hAnsi="Times New Roman" w:cs="Times New Roman"/>
          <w:b/>
          <w:bCs/>
        </w:rPr>
        <w:t>roku 2025</w:t>
      </w:r>
    </w:p>
    <w:tbl>
      <w:tblPr>
        <w:tblW w:w="9185" w:type="dxa"/>
        <w:tblCellMar>
          <w:left w:w="70" w:type="dxa"/>
          <w:right w:w="70" w:type="dxa"/>
        </w:tblCellMar>
        <w:tblLook w:val="04A0" w:firstRow="1" w:lastRow="0" w:firstColumn="1" w:lastColumn="0" w:noHBand="0" w:noVBand="1"/>
      </w:tblPr>
      <w:tblGrid>
        <w:gridCol w:w="2803"/>
        <w:gridCol w:w="1807"/>
        <w:gridCol w:w="1445"/>
        <w:gridCol w:w="1565"/>
        <w:gridCol w:w="1565"/>
      </w:tblGrid>
      <w:tr w:rsidR="00EB6D39" w:rsidRPr="00EB6D39" w14:paraId="4E181415" w14:textId="338144EA" w:rsidTr="0043689D">
        <w:trPr>
          <w:trHeight w:val="210"/>
        </w:trPr>
        <w:tc>
          <w:tcPr>
            <w:tcW w:w="2803" w:type="dxa"/>
            <w:tcBorders>
              <w:top w:val="single" w:sz="4" w:space="0" w:color="auto"/>
              <w:left w:val="single" w:sz="4" w:space="0" w:color="auto"/>
              <w:bottom w:val="single" w:sz="4" w:space="0" w:color="auto"/>
              <w:right w:val="single" w:sz="4" w:space="0" w:color="auto"/>
            </w:tcBorders>
            <w:vAlign w:val="center"/>
          </w:tcPr>
          <w:p w14:paraId="065ED883" w14:textId="77777777" w:rsidR="001C1802" w:rsidRPr="00EB6D39" w:rsidRDefault="001C1802" w:rsidP="0043689D">
            <w:pPr>
              <w:spacing w:after="0" w:line="240" w:lineRule="auto"/>
              <w:jc w:val="center"/>
              <w:rPr>
                <w:rFonts w:ascii="Times New Roman" w:eastAsia="Times New Roman" w:hAnsi="Times New Roman" w:cs="Times New Roman"/>
                <w:sz w:val="20"/>
                <w:szCs w:val="20"/>
                <w:lang w:eastAsia="sk-SK"/>
              </w:rPr>
            </w:pPr>
          </w:p>
        </w:tc>
        <w:tc>
          <w:tcPr>
            <w:tcW w:w="18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4BB14"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Všeobecná zdravotná poisťovňa, a. s.</w:t>
            </w:r>
          </w:p>
        </w:tc>
        <w:tc>
          <w:tcPr>
            <w:tcW w:w="1445" w:type="dxa"/>
            <w:tcBorders>
              <w:top w:val="single" w:sz="4" w:space="0" w:color="auto"/>
              <w:left w:val="nil"/>
              <w:bottom w:val="single" w:sz="4" w:space="0" w:color="auto"/>
              <w:right w:val="single" w:sz="4" w:space="0" w:color="auto"/>
            </w:tcBorders>
            <w:shd w:val="clear" w:color="auto" w:fill="auto"/>
            <w:noWrap/>
            <w:vAlign w:val="center"/>
          </w:tcPr>
          <w:p w14:paraId="6DA9F5E2"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b/>
                <w:bCs/>
                <w:sz w:val="20"/>
                <w:szCs w:val="20"/>
                <w:lang w:eastAsia="sk-SK"/>
              </w:rPr>
              <w:t>Dôvera zdravotná poisťovňa, a. s.</w:t>
            </w:r>
          </w:p>
        </w:tc>
        <w:tc>
          <w:tcPr>
            <w:tcW w:w="1565" w:type="dxa"/>
            <w:tcBorders>
              <w:top w:val="single" w:sz="4" w:space="0" w:color="auto"/>
              <w:left w:val="nil"/>
              <w:bottom w:val="single" w:sz="4" w:space="0" w:color="auto"/>
              <w:right w:val="single" w:sz="4" w:space="0" w:color="auto"/>
            </w:tcBorders>
            <w:shd w:val="clear" w:color="auto" w:fill="auto"/>
            <w:noWrap/>
            <w:vAlign w:val="center"/>
          </w:tcPr>
          <w:p w14:paraId="2C4AD69D"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a. s.</w:t>
            </w:r>
          </w:p>
        </w:tc>
        <w:tc>
          <w:tcPr>
            <w:tcW w:w="1565" w:type="dxa"/>
            <w:tcBorders>
              <w:top w:val="single" w:sz="4" w:space="0" w:color="auto"/>
              <w:left w:val="nil"/>
              <w:bottom w:val="single" w:sz="4" w:space="0" w:color="auto"/>
              <w:right w:val="single" w:sz="4" w:space="0" w:color="auto"/>
            </w:tcBorders>
            <w:vAlign w:val="center"/>
          </w:tcPr>
          <w:p w14:paraId="013D817B" w14:textId="7A3BF0E7" w:rsidR="001C1802" w:rsidRPr="00EB6D39" w:rsidRDefault="001C1802" w:rsidP="002043E6">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Spolu</w:t>
            </w:r>
          </w:p>
        </w:tc>
      </w:tr>
      <w:tr w:rsidR="00EB6D39" w:rsidRPr="00EB6D39" w14:paraId="446A13AB" w14:textId="2F9CEF33" w:rsidTr="0043689D">
        <w:trPr>
          <w:trHeight w:val="210"/>
        </w:trPr>
        <w:tc>
          <w:tcPr>
            <w:tcW w:w="2803" w:type="dxa"/>
            <w:tcBorders>
              <w:top w:val="single" w:sz="4" w:space="0" w:color="auto"/>
              <w:left w:val="single" w:sz="4" w:space="0" w:color="auto"/>
              <w:bottom w:val="single" w:sz="4" w:space="0" w:color="auto"/>
              <w:right w:val="single" w:sz="4" w:space="0" w:color="auto"/>
            </w:tcBorders>
            <w:vAlign w:val="center"/>
          </w:tcPr>
          <w:p w14:paraId="0048CDF5" w14:textId="3FF0E16F" w:rsidR="001C1802" w:rsidRPr="00EB6D39" w:rsidRDefault="001C1802" w:rsidP="002043E6">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Predpokladané daňové príjmy v roku 2025 po zohľadnení prerozdeľovania poistného</w:t>
            </w:r>
          </w:p>
        </w:tc>
        <w:tc>
          <w:tcPr>
            <w:tcW w:w="18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1E9ED" w14:textId="0BC71426"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5 185 705 074</w:t>
            </w:r>
          </w:p>
        </w:tc>
        <w:tc>
          <w:tcPr>
            <w:tcW w:w="1445" w:type="dxa"/>
            <w:tcBorders>
              <w:top w:val="single" w:sz="4" w:space="0" w:color="auto"/>
              <w:left w:val="nil"/>
              <w:bottom w:val="single" w:sz="4" w:space="0" w:color="auto"/>
              <w:right w:val="single" w:sz="4" w:space="0" w:color="auto"/>
            </w:tcBorders>
            <w:shd w:val="clear" w:color="auto" w:fill="auto"/>
            <w:noWrap/>
            <w:vAlign w:val="center"/>
          </w:tcPr>
          <w:p w14:paraId="3E47EC3C" w14:textId="6F5CB1D2"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2 524 766 747</w:t>
            </w:r>
          </w:p>
        </w:tc>
        <w:tc>
          <w:tcPr>
            <w:tcW w:w="1565" w:type="dxa"/>
            <w:tcBorders>
              <w:top w:val="single" w:sz="4" w:space="0" w:color="auto"/>
              <w:left w:val="nil"/>
              <w:bottom w:val="single" w:sz="4" w:space="0" w:color="auto"/>
              <w:right w:val="single" w:sz="4" w:space="0" w:color="auto"/>
            </w:tcBorders>
            <w:shd w:val="clear" w:color="auto" w:fill="auto"/>
            <w:noWrap/>
            <w:vAlign w:val="center"/>
          </w:tcPr>
          <w:p w14:paraId="683E986A" w14:textId="521EB216"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806 512 075</w:t>
            </w:r>
          </w:p>
        </w:tc>
        <w:tc>
          <w:tcPr>
            <w:tcW w:w="1565" w:type="dxa"/>
            <w:tcBorders>
              <w:top w:val="single" w:sz="4" w:space="0" w:color="auto"/>
              <w:left w:val="nil"/>
              <w:bottom w:val="single" w:sz="4" w:space="0" w:color="auto"/>
              <w:right w:val="single" w:sz="4" w:space="0" w:color="auto"/>
            </w:tcBorders>
            <w:vAlign w:val="center"/>
          </w:tcPr>
          <w:p w14:paraId="3291551D" w14:textId="7EA2C5F0"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hAnsi="Times New Roman" w:cs="Times New Roman"/>
                <w:sz w:val="20"/>
                <w:szCs w:val="20"/>
              </w:rPr>
              <w:t>8 516 983 896</w:t>
            </w:r>
          </w:p>
        </w:tc>
      </w:tr>
      <w:tr w:rsidR="00EB6D39" w:rsidRPr="00EB6D39" w14:paraId="031767DB" w14:textId="0C7B19DC" w:rsidTr="0043689D">
        <w:trPr>
          <w:trHeight w:val="210"/>
        </w:trPr>
        <w:tc>
          <w:tcPr>
            <w:tcW w:w="2803" w:type="dxa"/>
            <w:tcBorders>
              <w:top w:val="single" w:sz="4" w:space="0" w:color="auto"/>
              <w:left w:val="single" w:sz="4" w:space="0" w:color="auto"/>
              <w:bottom w:val="single" w:sz="4" w:space="0" w:color="auto"/>
              <w:right w:val="single" w:sz="4" w:space="0" w:color="auto"/>
            </w:tcBorders>
            <w:vAlign w:val="center"/>
          </w:tcPr>
          <w:p w14:paraId="0CC75BAC" w14:textId="458BEA03" w:rsidR="001C1802" w:rsidRPr="00EB6D39" w:rsidRDefault="001C1802" w:rsidP="002043E6">
            <w:pPr>
              <w:spacing w:after="0" w:line="240" w:lineRule="auto"/>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Podiel po prerozdeľovaní z roku 2025</w:t>
            </w:r>
          </w:p>
        </w:tc>
        <w:tc>
          <w:tcPr>
            <w:tcW w:w="18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49A7E"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60,89%</w:t>
            </w:r>
          </w:p>
        </w:tc>
        <w:tc>
          <w:tcPr>
            <w:tcW w:w="1445" w:type="dxa"/>
            <w:tcBorders>
              <w:top w:val="single" w:sz="4" w:space="0" w:color="auto"/>
              <w:left w:val="nil"/>
              <w:bottom w:val="single" w:sz="4" w:space="0" w:color="auto"/>
              <w:right w:val="single" w:sz="4" w:space="0" w:color="auto"/>
            </w:tcBorders>
            <w:shd w:val="clear" w:color="auto" w:fill="auto"/>
            <w:noWrap/>
            <w:vAlign w:val="center"/>
            <w:hideMark/>
          </w:tcPr>
          <w:p w14:paraId="4C77B8C7"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29,64%</w:t>
            </w:r>
          </w:p>
        </w:tc>
        <w:tc>
          <w:tcPr>
            <w:tcW w:w="1565" w:type="dxa"/>
            <w:tcBorders>
              <w:top w:val="single" w:sz="4" w:space="0" w:color="auto"/>
              <w:left w:val="nil"/>
              <w:bottom w:val="single" w:sz="4" w:space="0" w:color="auto"/>
              <w:right w:val="single" w:sz="4" w:space="0" w:color="auto"/>
            </w:tcBorders>
            <w:shd w:val="clear" w:color="auto" w:fill="auto"/>
            <w:noWrap/>
            <w:vAlign w:val="center"/>
            <w:hideMark/>
          </w:tcPr>
          <w:p w14:paraId="27F87E70" w14:textId="77777777"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9,47%</w:t>
            </w:r>
          </w:p>
        </w:tc>
        <w:tc>
          <w:tcPr>
            <w:tcW w:w="1565" w:type="dxa"/>
            <w:tcBorders>
              <w:top w:val="single" w:sz="4" w:space="0" w:color="auto"/>
              <w:left w:val="nil"/>
              <w:bottom w:val="single" w:sz="4" w:space="0" w:color="auto"/>
              <w:right w:val="single" w:sz="4" w:space="0" w:color="auto"/>
            </w:tcBorders>
            <w:vAlign w:val="center"/>
          </w:tcPr>
          <w:p w14:paraId="699BC05C" w14:textId="23AC6E79" w:rsidR="001C1802" w:rsidRPr="00EB6D39" w:rsidRDefault="001C1802" w:rsidP="002043E6">
            <w:pPr>
              <w:spacing w:after="0" w:line="240" w:lineRule="auto"/>
              <w:jc w:val="center"/>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100%</w:t>
            </w:r>
          </w:p>
        </w:tc>
      </w:tr>
    </w:tbl>
    <w:p w14:paraId="21FC80CD" w14:textId="239D3C20" w:rsidR="00927008" w:rsidRPr="00EB6D39" w:rsidRDefault="00927008" w:rsidP="0043689D">
      <w:pPr>
        <w:spacing w:after="0" w:line="240" w:lineRule="auto"/>
        <w:jc w:val="right"/>
        <w:rPr>
          <w:rFonts w:ascii="Times New Roman" w:hAnsi="Times New Roman" w:cs="Times New Roman"/>
          <w:b/>
          <w:bCs/>
        </w:rPr>
      </w:pPr>
      <w:r w:rsidRPr="00EB6D39">
        <w:rPr>
          <w:rFonts w:ascii="Times New Roman" w:hAnsi="Times New Roman" w:cs="Times New Roman"/>
          <w:sz w:val="18"/>
          <w:szCs w:val="18"/>
        </w:rPr>
        <w:t>Zdroj: vlastné spracovanie</w:t>
      </w:r>
    </w:p>
    <w:p w14:paraId="104F1406" w14:textId="77777777" w:rsidR="00423668" w:rsidRDefault="00423668" w:rsidP="002E5CA3">
      <w:pPr>
        <w:spacing w:after="0" w:line="240" w:lineRule="auto"/>
        <w:jc w:val="both"/>
        <w:rPr>
          <w:rFonts w:ascii="Times New Roman" w:hAnsi="Times New Roman" w:cs="Times New Roman"/>
          <w:sz w:val="24"/>
          <w:szCs w:val="24"/>
        </w:rPr>
      </w:pPr>
    </w:p>
    <w:p w14:paraId="5AF6331A" w14:textId="356B09B5" w:rsidR="001C1802" w:rsidRPr="00B710A6" w:rsidRDefault="00423668" w:rsidP="002E5CA3">
      <w:pPr>
        <w:spacing w:after="0" w:line="240" w:lineRule="auto"/>
        <w:jc w:val="both"/>
        <w:rPr>
          <w:rFonts w:ascii="Times New Roman" w:hAnsi="Times New Roman" w:cs="Times New Roman"/>
        </w:rPr>
      </w:pPr>
      <w:r w:rsidRPr="00B710A6">
        <w:rPr>
          <w:rFonts w:ascii="Times New Roman" w:eastAsiaTheme="minorEastAsia" w:hAnsi="Times New Roman" w:cs="Times New Roman"/>
          <w:b/>
          <w:bCs/>
        </w:rPr>
        <w:t>Tabuľka 1</w:t>
      </w:r>
      <w:r w:rsidR="003F6971" w:rsidRPr="00B710A6">
        <w:rPr>
          <w:rFonts w:ascii="Times New Roman" w:eastAsiaTheme="minorEastAsia" w:hAnsi="Times New Roman" w:cs="Times New Roman"/>
          <w:b/>
          <w:bCs/>
        </w:rPr>
        <w:t>4</w:t>
      </w:r>
      <w:r w:rsidRPr="00B710A6">
        <w:rPr>
          <w:rFonts w:ascii="Times New Roman" w:eastAsiaTheme="minorEastAsia" w:hAnsi="Times New Roman" w:cs="Times New Roman"/>
          <w:b/>
          <w:bCs/>
        </w:rPr>
        <w:t xml:space="preserve">: </w:t>
      </w:r>
      <w:r w:rsidR="001C1802" w:rsidRPr="00B710A6">
        <w:rPr>
          <w:rFonts w:ascii="Times New Roman" w:hAnsi="Times New Roman" w:cs="Times New Roman"/>
          <w:b/>
          <w:bCs/>
        </w:rPr>
        <w:t>Návrh zdravotných poisťovní</w:t>
      </w:r>
      <w:r w:rsidR="00444470" w:rsidRPr="00B710A6">
        <w:rPr>
          <w:rFonts w:ascii="Times New Roman" w:hAnsi="Times New Roman" w:cs="Times New Roman"/>
          <w:b/>
          <w:bCs/>
        </w:rPr>
        <w:t xml:space="preserve"> pre riadok Ústavná zdravotná starostlivosť</w:t>
      </w:r>
      <w:r w:rsidRPr="00B710A6">
        <w:rPr>
          <w:rFonts w:ascii="Times New Roman" w:hAnsi="Times New Roman" w:cs="Times New Roman"/>
          <w:b/>
          <w:bCs/>
        </w:rPr>
        <w:t xml:space="preserve"> pre rok 2025</w:t>
      </w:r>
    </w:p>
    <w:tbl>
      <w:tblPr>
        <w:tblW w:w="9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0"/>
        <w:gridCol w:w="1802"/>
        <w:gridCol w:w="1459"/>
        <w:gridCol w:w="1524"/>
        <w:gridCol w:w="1617"/>
      </w:tblGrid>
      <w:tr w:rsidR="00EB6D39" w:rsidRPr="00EB6D39" w14:paraId="73CDFED3" w14:textId="77777777" w:rsidTr="0043689D">
        <w:trPr>
          <w:trHeight w:val="274"/>
        </w:trPr>
        <w:tc>
          <w:tcPr>
            <w:tcW w:w="2830" w:type="dxa"/>
          </w:tcPr>
          <w:p w14:paraId="5AB4E43C" w14:textId="77777777" w:rsidR="008325C9" w:rsidRPr="00EB6D39" w:rsidRDefault="008325C9" w:rsidP="008325C9">
            <w:pPr>
              <w:spacing w:after="0" w:line="240" w:lineRule="auto"/>
              <w:jc w:val="right"/>
              <w:rPr>
                <w:rFonts w:ascii="Times New Roman" w:eastAsia="Times New Roman" w:hAnsi="Times New Roman" w:cs="Times New Roman"/>
                <w:kern w:val="0"/>
                <w:sz w:val="20"/>
                <w:szCs w:val="20"/>
                <w:lang w:eastAsia="sk-SK"/>
                <w14:ligatures w14:val="none"/>
              </w:rPr>
            </w:pPr>
          </w:p>
        </w:tc>
        <w:tc>
          <w:tcPr>
            <w:tcW w:w="1802" w:type="dxa"/>
            <w:shd w:val="clear" w:color="auto" w:fill="auto"/>
            <w:noWrap/>
            <w:vAlign w:val="center"/>
          </w:tcPr>
          <w:p w14:paraId="1EDE87CE" w14:textId="62185298" w:rsidR="008325C9" w:rsidRPr="00EB6D39" w:rsidRDefault="008325C9" w:rsidP="0043689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sz w:val="20"/>
                <w:szCs w:val="20"/>
                <w:lang w:eastAsia="sk-SK"/>
              </w:rPr>
              <w:t>Všeobecná zdravotná poisťovňa, a. s.</w:t>
            </w:r>
          </w:p>
        </w:tc>
        <w:tc>
          <w:tcPr>
            <w:tcW w:w="1459" w:type="dxa"/>
            <w:shd w:val="clear" w:color="auto" w:fill="auto"/>
            <w:noWrap/>
            <w:vAlign w:val="center"/>
          </w:tcPr>
          <w:p w14:paraId="5A0CAF4B" w14:textId="5A25692F" w:rsidR="008325C9" w:rsidRPr="00EB6D39" w:rsidRDefault="008325C9" w:rsidP="0043689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sz w:val="20"/>
                <w:szCs w:val="20"/>
                <w:lang w:eastAsia="sk-SK"/>
              </w:rPr>
              <w:t>Dôvera zdravotná poisťovňa, a. s.</w:t>
            </w:r>
          </w:p>
        </w:tc>
        <w:tc>
          <w:tcPr>
            <w:tcW w:w="1524" w:type="dxa"/>
            <w:shd w:val="clear" w:color="auto" w:fill="auto"/>
            <w:noWrap/>
            <w:vAlign w:val="center"/>
          </w:tcPr>
          <w:p w14:paraId="33ADB8B2" w14:textId="6841135A" w:rsidR="008325C9" w:rsidRPr="00EB6D39" w:rsidRDefault="008325C9" w:rsidP="0043689D">
            <w:pPr>
              <w:spacing w:after="0" w:line="240" w:lineRule="auto"/>
              <w:jc w:val="center"/>
              <w:rPr>
                <w:rFonts w:ascii="Times New Roman" w:eastAsia="Times New Roman" w:hAnsi="Times New Roman" w:cs="Times New Roman"/>
                <w:b/>
                <w:bCs/>
                <w:kern w:val="0"/>
                <w:sz w:val="20"/>
                <w:szCs w:val="20"/>
                <w:lang w:eastAsia="sk-SK"/>
                <w14:ligatures w14:val="none"/>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a. s.</w:t>
            </w:r>
          </w:p>
        </w:tc>
        <w:tc>
          <w:tcPr>
            <w:tcW w:w="1617" w:type="dxa"/>
            <w:shd w:val="clear" w:color="auto" w:fill="auto"/>
            <w:noWrap/>
            <w:vAlign w:val="center"/>
          </w:tcPr>
          <w:p w14:paraId="2A936672" w14:textId="23905763" w:rsidR="008325C9" w:rsidRPr="00EB6D39" w:rsidRDefault="008325C9" w:rsidP="0043689D">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sz w:val="20"/>
                <w:szCs w:val="20"/>
                <w:lang w:eastAsia="sk-SK"/>
              </w:rPr>
              <w:t>Spolu</w:t>
            </w:r>
          </w:p>
        </w:tc>
      </w:tr>
      <w:tr w:rsidR="00B710A6" w:rsidRPr="00EB6D39" w14:paraId="791A6CA4" w14:textId="77777777" w:rsidTr="00C941F3">
        <w:trPr>
          <w:trHeight w:val="283"/>
        </w:trPr>
        <w:tc>
          <w:tcPr>
            <w:tcW w:w="2830" w:type="dxa"/>
            <w:vAlign w:val="center"/>
          </w:tcPr>
          <w:p w14:paraId="6F8585E3" w14:textId="548A8CB5" w:rsidR="00B710A6" w:rsidRPr="00EB6D39" w:rsidRDefault="00B710A6" w:rsidP="00B710A6">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Ústavná zdravotná starostlivosť</w:t>
            </w:r>
          </w:p>
        </w:tc>
        <w:tc>
          <w:tcPr>
            <w:tcW w:w="18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8211E7" w14:textId="26418C0B"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color w:val="000000"/>
                <w:sz w:val="20"/>
                <w:szCs w:val="20"/>
              </w:rPr>
              <w:t>61,77%</w:t>
            </w:r>
          </w:p>
        </w:tc>
        <w:tc>
          <w:tcPr>
            <w:tcW w:w="1459" w:type="dxa"/>
            <w:tcBorders>
              <w:top w:val="single" w:sz="4" w:space="0" w:color="auto"/>
              <w:left w:val="nil"/>
              <w:bottom w:val="single" w:sz="4" w:space="0" w:color="auto"/>
              <w:right w:val="single" w:sz="4" w:space="0" w:color="auto"/>
            </w:tcBorders>
            <w:shd w:val="clear" w:color="auto" w:fill="auto"/>
            <w:noWrap/>
            <w:vAlign w:val="center"/>
            <w:hideMark/>
          </w:tcPr>
          <w:p w14:paraId="5CF59086" w14:textId="73B7251B"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color w:val="000000"/>
                <w:sz w:val="20"/>
                <w:szCs w:val="20"/>
              </w:rPr>
              <w:t>29,56%</w:t>
            </w:r>
          </w:p>
        </w:tc>
        <w:tc>
          <w:tcPr>
            <w:tcW w:w="1524" w:type="dxa"/>
            <w:tcBorders>
              <w:top w:val="single" w:sz="4" w:space="0" w:color="auto"/>
              <w:left w:val="nil"/>
              <w:bottom w:val="single" w:sz="4" w:space="0" w:color="auto"/>
              <w:right w:val="single" w:sz="4" w:space="0" w:color="auto"/>
            </w:tcBorders>
            <w:shd w:val="clear" w:color="auto" w:fill="auto"/>
            <w:noWrap/>
            <w:vAlign w:val="center"/>
            <w:hideMark/>
          </w:tcPr>
          <w:p w14:paraId="53B65B11" w14:textId="24B3675F"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color w:val="000000"/>
                <w:sz w:val="20"/>
                <w:szCs w:val="20"/>
              </w:rPr>
              <w:t>8,67%</w:t>
            </w:r>
          </w:p>
        </w:tc>
        <w:tc>
          <w:tcPr>
            <w:tcW w:w="1617" w:type="dxa"/>
            <w:shd w:val="clear" w:color="auto" w:fill="auto"/>
            <w:noWrap/>
            <w:vAlign w:val="center"/>
            <w:hideMark/>
          </w:tcPr>
          <w:p w14:paraId="15D074B8" w14:textId="77777777" w:rsidR="00B710A6" w:rsidRPr="00EB6D39"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100,00%</w:t>
            </w:r>
          </w:p>
        </w:tc>
      </w:tr>
    </w:tbl>
    <w:p w14:paraId="64385862" w14:textId="77777777" w:rsidR="001C1802" w:rsidRPr="00EB6D39" w:rsidRDefault="001C1802" w:rsidP="002E5CA3">
      <w:pPr>
        <w:spacing w:after="0" w:line="240" w:lineRule="auto"/>
        <w:jc w:val="both"/>
        <w:rPr>
          <w:rFonts w:ascii="Times New Roman" w:hAnsi="Times New Roman" w:cs="Times New Roman"/>
          <w:b/>
          <w:bCs/>
          <w:sz w:val="24"/>
          <w:szCs w:val="24"/>
        </w:rPr>
      </w:pPr>
    </w:p>
    <w:p w14:paraId="24213708" w14:textId="16B65ACD" w:rsidR="002043E6" w:rsidRPr="00EB6D39" w:rsidRDefault="00705C82" w:rsidP="002043E6">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V rámci typu ústavnej zdravotnej starostlivosti sú okrem nemocníc, aj iné typy poskytovateľov zdravotnej starostlivosti, ktoré prevádzkujú ústavnú zdravotnú starostlivosti, napríklad ústavná zdravotná starostlivosť poskytnutá v liečebni podľa § 7 ods. 4 písm. b) zákona č. 578/2004 Z. z., v hospici podľa § 7 ods. 4 písm. c) zákona č. 578/2004 Z. z., v dome ošetrovateľskej starostlivosti podľa § 7 ods. 4 písm. d) zákona č. 578/2004 Z. z., ošetrovateľská starostlivosť poskytnutá v zariadeniach sociálnych služieb a zariadeniam sociálnoprávnej ochrany detí a sociálnej kurately podľa § 7a zákona č. 581/2004 Z. z., poskytnutá v zariadení biomedicínskeho výskumu podľa § 7 ods. 4 písm. g) zákona č. 578/2004 Z. z., preto pri podieloch jednotlivých zdravotných poisťovní zohľadňujeme aj tieto iné subjekty, ktoré nie sú uhrádzané formou DRG. 90,8% predstavuje DRG úhrady, zvyšok predstavujú </w:t>
      </w:r>
      <w:proofErr w:type="spellStart"/>
      <w:r w:rsidRPr="00EB6D39">
        <w:rPr>
          <w:rFonts w:ascii="Times New Roman" w:hAnsi="Times New Roman" w:cs="Times New Roman"/>
          <w:sz w:val="24"/>
          <w:szCs w:val="24"/>
        </w:rPr>
        <w:t>non</w:t>
      </w:r>
      <w:proofErr w:type="spellEnd"/>
      <w:r w:rsidR="00423668" w:rsidRPr="00EB6D39">
        <w:rPr>
          <w:rFonts w:ascii="Times New Roman" w:hAnsi="Times New Roman" w:cs="Times New Roman"/>
          <w:sz w:val="24"/>
          <w:szCs w:val="24"/>
        </w:rPr>
        <w:t>-</w:t>
      </w:r>
      <w:r w:rsidRPr="00EB6D39">
        <w:rPr>
          <w:rFonts w:ascii="Times New Roman" w:hAnsi="Times New Roman" w:cs="Times New Roman"/>
          <w:sz w:val="24"/>
          <w:szCs w:val="24"/>
        </w:rPr>
        <w:t>DRG úhrady.</w:t>
      </w:r>
    </w:p>
    <w:p w14:paraId="46D65FBF" w14:textId="77777777" w:rsidR="002043E6" w:rsidRPr="00EB6D39" w:rsidRDefault="002043E6" w:rsidP="0043689D">
      <w:pPr>
        <w:spacing w:after="0" w:line="240" w:lineRule="auto"/>
        <w:ind w:firstLine="708"/>
        <w:jc w:val="both"/>
        <w:rPr>
          <w:rFonts w:ascii="Times New Roman" w:hAnsi="Times New Roman" w:cs="Times New Roman"/>
          <w:sz w:val="24"/>
          <w:szCs w:val="24"/>
        </w:rPr>
      </w:pPr>
    </w:p>
    <w:p w14:paraId="4AA090DB" w14:textId="775F8F0C"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lastRenderedPageBreak/>
        <w:t>K odseku 4</w:t>
      </w:r>
    </w:p>
    <w:p w14:paraId="4115A29F" w14:textId="68ECB52F" w:rsidR="002043E6" w:rsidRPr="00EB6D39" w:rsidRDefault="00965B9D" w:rsidP="002043E6">
      <w:pPr>
        <w:spacing w:after="0" w:line="240" w:lineRule="auto"/>
        <w:ind w:firstLine="708"/>
        <w:jc w:val="both"/>
        <w:rPr>
          <w:rFonts w:ascii="Times New Roman" w:hAnsi="Times New Roman" w:cs="Times New Roman"/>
          <w:sz w:val="24"/>
          <w:szCs w:val="24"/>
        </w:rPr>
        <w:sectPr w:rsidR="002043E6" w:rsidRPr="00EB6D39" w:rsidSect="001039A1">
          <w:pgSz w:w="11906" w:h="16838"/>
          <w:pgMar w:top="1417" w:right="1417" w:bottom="1417" w:left="1417" w:header="708" w:footer="708" w:gutter="0"/>
          <w:cols w:space="708"/>
          <w:docGrid w:linePitch="360"/>
        </w:sectPr>
      </w:pPr>
      <w:bookmarkStart w:id="6" w:name="_Hlk192099157"/>
      <w:r w:rsidRPr="00EB6D39">
        <w:rPr>
          <w:rFonts w:ascii="Times New Roman" w:hAnsi="Times New Roman" w:cs="Times New Roman"/>
          <w:sz w:val="24"/>
          <w:szCs w:val="24"/>
        </w:rPr>
        <w:t>K podielom podľa odsekov 2 a 3 sa použije prípustná odchýlka od celkovej sumy skutočných výdavkov jednotlivých zdravotných poisťovní na zdravotnú starostlivosť za kalendárny rok, na ktorý sa podiel určuj</w:t>
      </w:r>
      <w:r w:rsidR="008325C9" w:rsidRPr="00EB6D39">
        <w:rPr>
          <w:rFonts w:ascii="Times New Roman" w:hAnsi="Times New Roman" w:cs="Times New Roman"/>
          <w:sz w:val="24"/>
          <w:szCs w:val="24"/>
        </w:rPr>
        <w:t>e.</w:t>
      </w:r>
      <w:r w:rsidR="00423668" w:rsidRPr="00EB6D39">
        <w:rPr>
          <w:rFonts w:ascii="Times New Roman" w:hAnsi="Times New Roman" w:cs="Times New Roman"/>
          <w:sz w:val="24"/>
          <w:szCs w:val="24"/>
        </w:rPr>
        <w:t xml:space="preserve"> Navrhované ustanovenie umožňuje zabezpečiť variabilitu pre zdravotné poisťovne presúvať výdavky podľa potreby medzi typmi zdravotnej starostlivosti.</w:t>
      </w:r>
    </w:p>
    <w:p w14:paraId="7F4E2EFA" w14:textId="5E317180" w:rsidR="002043E6" w:rsidRPr="00EB6D39" w:rsidRDefault="00EC54CA" w:rsidP="0043689D">
      <w:pPr>
        <w:spacing w:after="0" w:line="240" w:lineRule="auto"/>
        <w:rPr>
          <w:rFonts w:ascii="Arial Narrow" w:eastAsia="Times New Roman" w:hAnsi="Arial Narrow" w:cs="Times New Roman"/>
          <w:kern w:val="0"/>
          <w:lang w:eastAsia="sk-SK"/>
          <w14:ligatures w14:val="none"/>
        </w:rPr>
      </w:pPr>
      <w:bookmarkStart w:id="7" w:name="_Hlk192113361"/>
      <w:bookmarkEnd w:id="6"/>
      <w:r w:rsidRPr="00EB6D39">
        <w:rPr>
          <w:rFonts w:ascii="Times New Roman" w:eastAsiaTheme="minorEastAsia" w:hAnsi="Times New Roman" w:cs="Times New Roman"/>
          <w:b/>
          <w:bCs/>
        </w:rPr>
        <w:lastRenderedPageBreak/>
        <w:t>Tabuľka 1</w:t>
      </w:r>
      <w:r w:rsidR="003F6971">
        <w:rPr>
          <w:rFonts w:ascii="Times New Roman" w:eastAsiaTheme="minorEastAsia" w:hAnsi="Times New Roman" w:cs="Times New Roman"/>
          <w:b/>
          <w:bCs/>
        </w:rPr>
        <w:t>5</w:t>
      </w:r>
      <w:r w:rsidRPr="00EB6D39">
        <w:rPr>
          <w:rFonts w:ascii="Times New Roman" w:eastAsiaTheme="minorEastAsia" w:hAnsi="Times New Roman" w:cs="Times New Roman"/>
          <w:b/>
          <w:bCs/>
        </w:rPr>
        <w:t>:</w:t>
      </w:r>
      <w:r w:rsidRPr="00EB6D39">
        <w:t xml:space="preserve"> </w:t>
      </w:r>
      <w:r w:rsidRPr="00EB6D39">
        <w:rPr>
          <w:rFonts w:ascii="Times New Roman" w:eastAsiaTheme="minorEastAsia" w:hAnsi="Times New Roman" w:cs="Times New Roman"/>
          <w:b/>
          <w:bCs/>
        </w:rPr>
        <w:t>Finálny návrh minimálnych súm výdavkov podľa typov zdravotnej starostlivosti pre rok 2025</w:t>
      </w:r>
    </w:p>
    <w:tbl>
      <w:tblPr>
        <w:tblW w:w="13617" w:type="dxa"/>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52"/>
        <w:gridCol w:w="1389"/>
        <w:gridCol w:w="1484"/>
        <w:gridCol w:w="1696"/>
        <w:gridCol w:w="1308"/>
        <w:gridCol w:w="1298"/>
        <w:gridCol w:w="1190"/>
      </w:tblGrid>
      <w:tr w:rsidR="00EB6D39" w:rsidRPr="00EB6D39" w14:paraId="0C50A98B" w14:textId="77777777" w:rsidTr="00EB6D39">
        <w:trPr>
          <w:trHeight w:val="929"/>
        </w:trPr>
        <w:tc>
          <w:tcPr>
            <w:tcW w:w="5252" w:type="dxa"/>
            <w:shd w:val="clear" w:color="auto" w:fill="auto"/>
            <w:vAlign w:val="center"/>
            <w:hideMark/>
          </w:tcPr>
          <w:p w14:paraId="3A4B9053" w14:textId="77777777" w:rsidR="00EF73E5" w:rsidRPr="00EB6D39" w:rsidRDefault="00EF73E5" w:rsidP="00621BC3">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 xml:space="preserve">Typy zdravotnej starostlivosti </w:t>
            </w:r>
          </w:p>
        </w:tc>
        <w:tc>
          <w:tcPr>
            <w:tcW w:w="1389" w:type="dxa"/>
            <w:shd w:val="clear" w:color="auto" w:fill="auto"/>
            <w:vAlign w:val="center"/>
            <w:hideMark/>
          </w:tcPr>
          <w:p w14:paraId="7FEC99FD"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Všeobecná zdravotná poisťovňa, a. s.</w:t>
            </w:r>
          </w:p>
        </w:tc>
        <w:tc>
          <w:tcPr>
            <w:tcW w:w="1484" w:type="dxa"/>
            <w:shd w:val="clear" w:color="auto" w:fill="auto"/>
            <w:vAlign w:val="center"/>
            <w:hideMark/>
          </w:tcPr>
          <w:p w14:paraId="32DC76F2"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Dôvera zdravotná poisťovňa, a. s.</w:t>
            </w:r>
          </w:p>
        </w:tc>
        <w:tc>
          <w:tcPr>
            <w:tcW w:w="1696" w:type="dxa"/>
            <w:shd w:val="clear" w:color="auto" w:fill="auto"/>
            <w:vAlign w:val="center"/>
            <w:hideMark/>
          </w:tcPr>
          <w:p w14:paraId="4ECBFB4E"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proofErr w:type="spellStart"/>
            <w:r w:rsidRPr="00EB6D39">
              <w:rPr>
                <w:rFonts w:ascii="Times New Roman" w:eastAsia="Times New Roman" w:hAnsi="Times New Roman" w:cs="Times New Roman"/>
                <w:b/>
                <w:bCs/>
                <w:kern w:val="0"/>
                <w:sz w:val="20"/>
                <w:szCs w:val="20"/>
                <w:lang w:eastAsia="sk-SK"/>
                <w14:ligatures w14:val="none"/>
              </w:rPr>
              <w:t>Union</w:t>
            </w:r>
            <w:proofErr w:type="spellEnd"/>
            <w:r w:rsidRPr="00EB6D39">
              <w:rPr>
                <w:rFonts w:ascii="Times New Roman" w:eastAsia="Times New Roman" w:hAnsi="Times New Roman" w:cs="Times New Roman"/>
                <w:b/>
                <w:bCs/>
                <w:kern w:val="0"/>
                <w:sz w:val="20"/>
                <w:szCs w:val="20"/>
                <w:lang w:eastAsia="sk-SK"/>
                <w14:ligatures w14:val="none"/>
              </w:rPr>
              <w:t xml:space="preserve"> zdravotná poisťovňa, a. s.</w:t>
            </w:r>
          </w:p>
        </w:tc>
        <w:tc>
          <w:tcPr>
            <w:tcW w:w="1308" w:type="dxa"/>
            <w:shd w:val="clear" w:color="auto" w:fill="auto"/>
            <w:vAlign w:val="center"/>
            <w:hideMark/>
          </w:tcPr>
          <w:p w14:paraId="0274AD91"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Spolu</w:t>
            </w:r>
          </w:p>
        </w:tc>
        <w:tc>
          <w:tcPr>
            <w:tcW w:w="1298" w:type="dxa"/>
            <w:shd w:val="clear" w:color="auto" w:fill="auto"/>
            <w:vAlign w:val="center"/>
            <w:hideMark/>
          </w:tcPr>
          <w:p w14:paraId="35210D28"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nárasty percentuálne</w:t>
            </w:r>
          </w:p>
        </w:tc>
        <w:tc>
          <w:tcPr>
            <w:tcW w:w="1190" w:type="dxa"/>
            <w:shd w:val="clear" w:color="auto" w:fill="auto"/>
            <w:vAlign w:val="center"/>
            <w:hideMark/>
          </w:tcPr>
          <w:p w14:paraId="5002890D" w14:textId="77777777" w:rsidR="00EF73E5" w:rsidRPr="00EB6D39" w:rsidRDefault="00EF73E5" w:rsidP="00621BC3">
            <w:pPr>
              <w:spacing w:after="0" w:line="240" w:lineRule="auto"/>
              <w:jc w:val="center"/>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nárast v eurách</w:t>
            </w:r>
          </w:p>
        </w:tc>
      </w:tr>
      <w:tr w:rsidR="00B710A6" w:rsidRPr="00EB6D39" w14:paraId="4618EA03" w14:textId="77777777" w:rsidTr="00B710A6">
        <w:trPr>
          <w:trHeight w:val="276"/>
        </w:trPr>
        <w:tc>
          <w:tcPr>
            <w:tcW w:w="5252" w:type="dxa"/>
            <w:shd w:val="clear" w:color="auto" w:fill="auto"/>
            <w:vAlign w:val="center"/>
            <w:hideMark/>
          </w:tcPr>
          <w:p w14:paraId="0D84E99A" w14:textId="77777777" w:rsidR="00B710A6" w:rsidRPr="00EB6D39" w:rsidRDefault="00B710A6" w:rsidP="00B710A6">
            <w:pPr>
              <w:spacing w:after="0" w:line="240" w:lineRule="auto"/>
              <w:rPr>
                <w:rFonts w:ascii="Times New Roman" w:eastAsia="Times New Roman" w:hAnsi="Times New Roman" w:cs="Times New Roman"/>
                <w:b/>
                <w:bCs/>
                <w:kern w:val="0"/>
                <w:sz w:val="20"/>
                <w:szCs w:val="20"/>
                <w:lang w:eastAsia="sk-SK"/>
                <w14:ligatures w14:val="none"/>
              </w:rPr>
            </w:pPr>
            <w:r w:rsidRPr="00EB6D39">
              <w:rPr>
                <w:rFonts w:ascii="Times New Roman" w:eastAsia="Times New Roman" w:hAnsi="Times New Roman" w:cs="Times New Roman"/>
                <w:b/>
                <w:bCs/>
                <w:kern w:val="0"/>
                <w:sz w:val="20"/>
                <w:szCs w:val="20"/>
                <w:lang w:eastAsia="sk-SK"/>
                <w14:ligatures w14:val="none"/>
              </w:rPr>
              <w:t>Zdravotná starostlivosť</w:t>
            </w:r>
          </w:p>
        </w:tc>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283F3" w14:textId="6934D884"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4 975 315 328</w:t>
            </w:r>
          </w:p>
        </w:tc>
        <w:tc>
          <w:tcPr>
            <w:tcW w:w="1484" w:type="dxa"/>
            <w:tcBorders>
              <w:top w:val="single" w:sz="4" w:space="0" w:color="auto"/>
              <w:left w:val="nil"/>
              <w:bottom w:val="single" w:sz="4" w:space="0" w:color="auto"/>
              <w:right w:val="single" w:sz="4" w:space="0" w:color="auto"/>
            </w:tcBorders>
            <w:shd w:val="clear" w:color="auto" w:fill="auto"/>
            <w:noWrap/>
            <w:vAlign w:val="center"/>
            <w:hideMark/>
          </w:tcPr>
          <w:p w14:paraId="5E8CD44C" w14:textId="15CCDC4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2 402 570 145</w:t>
            </w:r>
          </w:p>
        </w:tc>
        <w:tc>
          <w:tcPr>
            <w:tcW w:w="1696" w:type="dxa"/>
            <w:tcBorders>
              <w:top w:val="single" w:sz="4" w:space="0" w:color="auto"/>
              <w:left w:val="nil"/>
              <w:bottom w:val="single" w:sz="4" w:space="0" w:color="auto"/>
              <w:right w:val="single" w:sz="4" w:space="0" w:color="auto"/>
            </w:tcBorders>
            <w:shd w:val="clear" w:color="auto" w:fill="auto"/>
            <w:noWrap/>
            <w:vAlign w:val="center"/>
            <w:hideMark/>
          </w:tcPr>
          <w:p w14:paraId="5BB94B56" w14:textId="158DE73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760 721 670</w:t>
            </w:r>
          </w:p>
        </w:tc>
        <w:tc>
          <w:tcPr>
            <w:tcW w:w="1308" w:type="dxa"/>
            <w:tcBorders>
              <w:top w:val="single" w:sz="4" w:space="0" w:color="auto"/>
              <w:left w:val="nil"/>
              <w:bottom w:val="single" w:sz="4" w:space="0" w:color="auto"/>
              <w:right w:val="single" w:sz="4" w:space="0" w:color="auto"/>
            </w:tcBorders>
            <w:shd w:val="clear" w:color="auto" w:fill="auto"/>
            <w:noWrap/>
            <w:vAlign w:val="center"/>
            <w:hideMark/>
          </w:tcPr>
          <w:p w14:paraId="6E8C1960" w14:textId="3E577AD0"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8 138 607 143</w:t>
            </w:r>
          </w:p>
        </w:tc>
        <w:tc>
          <w:tcPr>
            <w:tcW w:w="1298" w:type="dxa"/>
            <w:tcBorders>
              <w:top w:val="single" w:sz="4" w:space="0" w:color="auto"/>
              <w:left w:val="nil"/>
              <w:bottom w:val="single" w:sz="4" w:space="0" w:color="auto"/>
              <w:right w:val="single" w:sz="4" w:space="0" w:color="auto"/>
            </w:tcBorders>
            <w:shd w:val="clear" w:color="auto" w:fill="auto"/>
            <w:noWrap/>
            <w:vAlign w:val="center"/>
            <w:hideMark/>
          </w:tcPr>
          <w:p w14:paraId="650FB5AF" w14:textId="0D5181DB"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3,06%</w:t>
            </w:r>
          </w:p>
        </w:tc>
        <w:tc>
          <w:tcPr>
            <w:tcW w:w="1190" w:type="dxa"/>
            <w:tcBorders>
              <w:top w:val="single" w:sz="4" w:space="0" w:color="auto"/>
              <w:left w:val="nil"/>
              <w:bottom w:val="single" w:sz="4" w:space="0" w:color="auto"/>
              <w:right w:val="single" w:sz="8" w:space="0" w:color="auto"/>
            </w:tcBorders>
            <w:shd w:val="clear" w:color="auto" w:fill="auto"/>
            <w:noWrap/>
            <w:vAlign w:val="center"/>
            <w:hideMark/>
          </w:tcPr>
          <w:p w14:paraId="26B9EF2A" w14:textId="1E9BED68"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241 893 779</w:t>
            </w:r>
          </w:p>
        </w:tc>
      </w:tr>
      <w:tr w:rsidR="00B710A6" w:rsidRPr="00EB6D39" w14:paraId="3CF44F14" w14:textId="77777777" w:rsidTr="00B710A6">
        <w:trPr>
          <w:trHeight w:val="280"/>
        </w:trPr>
        <w:tc>
          <w:tcPr>
            <w:tcW w:w="5252" w:type="dxa"/>
            <w:shd w:val="clear" w:color="auto" w:fill="auto"/>
            <w:vAlign w:val="bottom"/>
            <w:hideMark/>
          </w:tcPr>
          <w:p w14:paraId="44D64111"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Lieky a dietetické potraviny</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6A8B0A0E" w14:textId="231D32A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1 020 034 608</w:t>
            </w:r>
          </w:p>
        </w:tc>
        <w:tc>
          <w:tcPr>
            <w:tcW w:w="1484" w:type="dxa"/>
            <w:tcBorders>
              <w:top w:val="nil"/>
              <w:left w:val="nil"/>
              <w:bottom w:val="single" w:sz="4" w:space="0" w:color="auto"/>
              <w:right w:val="single" w:sz="4" w:space="0" w:color="auto"/>
            </w:tcBorders>
            <w:shd w:val="clear" w:color="auto" w:fill="auto"/>
            <w:noWrap/>
            <w:vAlign w:val="center"/>
            <w:hideMark/>
          </w:tcPr>
          <w:p w14:paraId="730DB5F7" w14:textId="2CC9E44F"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456 923 060</w:t>
            </w:r>
          </w:p>
        </w:tc>
        <w:tc>
          <w:tcPr>
            <w:tcW w:w="1696" w:type="dxa"/>
            <w:tcBorders>
              <w:top w:val="nil"/>
              <w:left w:val="nil"/>
              <w:bottom w:val="single" w:sz="4" w:space="0" w:color="auto"/>
              <w:right w:val="single" w:sz="4" w:space="0" w:color="auto"/>
            </w:tcBorders>
            <w:shd w:val="clear" w:color="auto" w:fill="auto"/>
            <w:noWrap/>
            <w:vAlign w:val="center"/>
            <w:hideMark/>
          </w:tcPr>
          <w:p w14:paraId="700AC0BC" w14:textId="7178EF2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128 387 979</w:t>
            </w:r>
          </w:p>
        </w:tc>
        <w:tc>
          <w:tcPr>
            <w:tcW w:w="1308" w:type="dxa"/>
            <w:tcBorders>
              <w:top w:val="nil"/>
              <w:left w:val="nil"/>
              <w:bottom w:val="single" w:sz="4" w:space="0" w:color="auto"/>
              <w:right w:val="single" w:sz="4" w:space="0" w:color="auto"/>
            </w:tcBorders>
            <w:shd w:val="clear" w:color="auto" w:fill="auto"/>
            <w:noWrap/>
            <w:vAlign w:val="center"/>
            <w:hideMark/>
          </w:tcPr>
          <w:p w14:paraId="6790DDD0" w14:textId="639CE9AB"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1 605 345 647</w:t>
            </w:r>
          </w:p>
        </w:tc>
        <w:tc>
          <w:tcPr>
            <w:tcW w:w="1298" w:type="dxa"/>
            <w:tcBorders>
              <w:top w:val="nil"/>
              <w:left w:val="nil"/>
              <w:bottom w:val="single" w:sz="4" w:space="0" w:color="auto"/>
              <w:right w:val="single" w:sz="4" w:space="0" w:color="auto"/>
            </w:tcBorders>
            <w:shd w:val="clear" w:color="auto" w:fill="auto"/>
            <w:noWrap/>
            <w:vAlign w:val="center"/>
            <w:hideMark/>
          </w:tcPr>
          <w:p w14:paraId="2AD28AAD" w14:textId="1647D34A"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-2,69%</w:t>
            </w:r>
          </w:p>
        </w:tc>
        <w:tc>
          <w:tcPr>
            <w:tcW w:w="1190" w:type="dxa"/>
            <w:tcBorders>
              <w:top w:val="nil"/>
              <w:left w:val="nil"/>
              <w:bottom w:val="single" w:sz="4" w:space="0" w:color="auto"/>
              <w:right w:val="single" w:sz="8" w:space="0" w:color="auto"/>
            </w:tcBorders>
            <w:shd w:val="clear" w:color="auto" w:fill="auto"/>
            <w:noWrap/>
            <w:vAlign w:val="center"/>
            <w:hideMark/>
          </w:tcPr>
          <w:p w14:paraId="6A1EDC3F" w14:textId="6C9ECB5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-44 367 541</w:t>
            </w:r>
          </w:p>
        </w:tc>
      </w:tr>
      <w:tr w:rsidR="00B710A6" w:rsidRPr="00EB6D39" w14:paraId="7E10C0CC" w14:textId="77777777" w:rsidTr="00B710A6">
        <w:trPr>
          <w:trHeight w:val="256"/>
        </w:trPr>
        <w:tc>
          <w:tcPr>
            <w:tcW w:w="5252" w:type="dxa"/>
            <w:shd w:val="clear" w:color="auto" w:fill="auto"/>
            <w:vAlign w:val="bottom"/>
            <w:hideMark/>
          </w:tcPr>
          <w:p w14:paraId="038A8537"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Zdravotnícke pomôcky</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74254560" w14:textId="31A47D54"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195 769 274</w:t>
            </w:r>
          </w:p>
        </w:tc>
        <w:tc>
          <w:tcPr>
            <w:tcW w:w="1484" w:type="dxa"/>
            <w:tcBorders>
              <w:top w:val="nil"/>
              <w:left w:val="nil"/>
              <w:bottom w:val="single" w:sz="4" w:space="0" w:color="auto"/>
              <w:right w:val="single" w:sz="4" w:space="0" w:color="auto"/>
            </w:tcBorders>
            <w:shd w:val="clear" w:color="auto" w:fill="auto"/>
            <w:noWrap/>
            <w:vAlign w:val="center"/>
            <w:hideMark/>
          </w:tcPr>
          <w:p w14:paraId="54E36F22" w14:textId="66FCEE8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81 534 706</w:t>
            </w:r>
          </w:p>
        </w:tc>
        <w:tc>
          <w:tcPr>
            <w:tcW w:w="1696" w:type="dxa"/>
            <w:tcBorders>
              <w:top w:val="nil"/>
              <w:left w:val="nil"/>
              <w:bottom w:val="single" w:sz="4" w:space="0" w:color="auto"/>
              <w:right w:val="single" w:sz="4" w:space="0" w:color="auto"/>
            </w:tcBorders>
            <w:shd w:val="clear" w:color="auto" w:fill="auto"/>
            <w:noWrap/>
            <w:vAlign w:val="center"/>
            <w:hideMark/>
          </w:tcPr>
          <w:p w14:paraId="342B3D8D" w14:textId="7801FADF"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23 199 979</w:t>
            </w:r>
          </w:p>
        </w:tc>
        <w:tc>
          <w:tcPr>
            <w:tcW w:w="1308" w:type="dxa"/>
            <w:tcBorders>
              <w:top w:val="nil"/>
              <w:left w:val="nil"/>
              <w:bottom w:val="single" w:sz="4" w:space="0" w:color="auto"/>
              <w:right w:val="single" w:sz="4" w:space="0" w:color="auto"/>
            </w:tcBorders>
            <w:shd w:val="clear" w:color="auto" w:fill="auto"/>
            <w:noWrap/>
            <w:vAlign w:val="center"/>
            <w:hideMark/>
          </w:tcPr>
          <w:p w14:paraId="79E507A9" w14:textId="141E56D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300 503 958</w:t>
            </w:r>
          </w:p>
        </w:tc>
        <w:tc>
          <w:tcPr>
            <w:tcW w:w="1298" w:type="dxa"/>
            <w:tcBorders>
              <w:top w:val="nil"/>
              <w:left w:val="nil"/>
              <w:bottom w:val="single" w:sz="4" w:space="0" w:color="auto"/>
              <w:right w:val="single" w:sz="4" w:space="0" w:color="auto"/>
            </w:tcBorders>
            <w:shd w:val="clear" w:color="auto" w:fill="auto"/>
            <w:noWrap/>
            <w:vAlign w:val="center"/>
            <w:hideMark/>
          </w:tcPr>
          <w:p w14:paraId="2C0EE8F4" w14:textId="2768CC5F"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-0,33%</w:t>
            </w:r>
          </w:p>
        </w:tc>
        <w:tc>
          <w:tcPr>
            <w:tcW w:w="1190" w:type="dxa"/>
            <w:tcBorders>
              <w:top w:val="nil"/>
              <w:left w:val="nil"/>
              <w:bottom w:val="single" w:sz="4" w:space="0" w:color="auto"/>
              <w:right w:val="single" w:sz="8" w:space="0" w:color="auto"/>
            </w:tcBorders>
            <w:shd w:val="clear" w:color="auto" w:fill="auto"/>
            <w:noWrap/>
            <w:vAlign w:val="center"/>
            <w:hideMark/>
          </w:tcPr>
          <w:p w14:paraId="530B92EF" w14:textId="7856AF3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-989 937</w:t>
            </w:r>
          </w:p>
        </w:tc>
      </w:tr>
      <w:tr w:rsidR="00B710A6" w:rsidRPr="00EB6D39" w14:paraId="7570E0B2" w14:textId="77777777" w:rsidTr="00B710A6">
        <w:trPr>
          <w:trHeight w:val="250"/>
        </w:trPr>
        <w:tc>
          <w:tcPr>
            <w:tcW w:w="5252" w:type="dxa"/>
            <w:shd w:val="clear" w:color="auto" w:fill="auto"/>
            <w:vAlign w:val="bottom"/>
            <w:hideMark/>
          </w:tcPr>
          <w:p w14:paraId="63C15A7A"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 xml:space="preserve">Ústavná zdravotná starostlivosť </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0BB8EAA4" w14:textId="0B9C7134"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1 798 282 773</w:t>
            </w:r>
          </w:p>
        </w:tc>
        <w:tc>
          <w:tcPr>
            <w:tcW w:w="1484" w:type="dxa"/>
            <w:tcBorders>
              <w:top w:val="nil"/>
              <w:left w:val="nil"/>
              <w:bottom w:val="single" w:sz="4" w:space="0" w:color="auto"/>
              <w:right w:val="single" w:sz="4" w:space="0" w:color="auto"/>
            </w:tcBorders>
            <w:shd w:val="clear" w:color="auto" w:fill="auto"/>
            <w:noWrap/>
            <w:vAlign w:val="center"/>
            <w:hideMark/>
          </w:tcPr>
          <w:p w14:paraId="500E53C5" w14:textId="6B81E44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860 730 625</w:t>
            </w:r>
          </w:p>
        </w:tc>
        <w:tc>
          <w:tcPr>
            <w:tcW w:w="1696" w:type="dxa"/>
            <w:tcBorders>
              <w:top w:val="nil"/>
              <w:left w:val="nil"/>
              <w:bottom w:val="single" w:sz="4" w:space="0" w:color="auto"/>
              <w:right w:val="single" w:sz="4" w:space="0" w:color="auto"/>
            </w:tcBorders>
            <w:shd w:val="clear" w:color="auto" w:fill="auto"/>
            <w:noWrap/>
            <w:vAlign w:val="center"/>
            <w:hideMark/>
          </w:tcPr>
          <w:p w14:paraId="50B07D43" w14:textId="6C8E0A9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252 442 714</w:t>
            </w:r>
          </w:p>
        </w:tc>
        <w:tc>
          <w:tcPr>
            <w:tcW w:w="1308" w:type="dxa"/>
            <w:tcBorders>
              <w:top w:val="nil"/>
              <w:left w:val="nil"/>
              <w:bottom w:val="single" w:sz="4" w:space="0" w:color="auto"/>
              <w:right w:val="single" w:sz="4" w:space="0" w:color="auto"/>
            </w:tcBorders>
            <w:shd w:val="clear" w:color="auto" w:fill="auto"/>
            <w:noWrap/>
            <w:vAlign w:val="center"/>
            <w:hideMark/>
          </w:tcPr>
          <w:p w14:paraId="1DC2653C" w14:textId="33C7AAFF"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2 911 456 111</w:t>
            </w:r>
          </w:p>
        </w:tc>
        <w:tc>
          <w:tcPr>
            <w:tcW w:w="1298" w:type="dxa"/>
            <w:tcBorders>
              <w:top w:val="nil"/>
              <w:left w:val="nil"/>
              <w:bottom w:val="single" w:sz="4" w:space="0" w:color="auto"/>
              <w:right w:val="single" w:sz="4" w:space="0" w:color="auto"/>
            </w:tcBorders>
            <w:shd w:val="clear" w:color="auto" w:fill="auto"/>
            <w:noWrap/>
            <w:vAlign w:val="center"/>
            <w:hideMark/>
          </w:tcPr>
          <w:p w14:paraId="67FAE2E4" w14:textId="7344B2AD"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5,22%</w:t>
            </w:r>
          </w:p>
        </w:tc>
        <w:tc>
          <w:tcPr>
            <w:tcW w:w="1190" w:type="dxa"/>
            <w:tcBorders>
              <w:top w:val="nil"/>
              <w:left w:val="nil"/>
              <w:bottom w:val="single" w:sz="4" w:space="0" w:color="auto"/>
              <w:right w:val="single" w:sz="8" w:space="0" w:color="auto"/>
            </w:tcBorders>
            <w:shd w:val="clear" w:color="auto" w:fill="auto"/>
            <w:noWrap/>
            <w:vAlign w:val="center"/>
            <w:hideMark/>
          </w:tcPr>
          <w:p w14:paraId="1EDF3E97" w14:textId="44648EC9"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144 329 930</w:t>
            </w:r>
          </w:p>
        </w:tc>
      </w:tr>
      <w:tr w:rsidR="00B710A6" w:rsidRPr="00EB6D39" w14:paraId="37187EE3" w14:textId="77777777" w:rsidTr="00B710A6">
        <w:trPr>
          <w:trHeight w:val="1828"/>
        </w:trPr>
        <w:tc>
          <w:tcPr>
            <w:tcW w:w="5252" w:type="dxa"/>
            <w:shd w:val="clear" w:color="auto" w:fill="auto"/>
            <w:vAlign w:val="bottom"/>
            <w:hideMark/>
          </w:tcPr>
          <w:p w14:paraId="656A72E7" w14:textId="77777777" w:rsidR="00B710A6" w:rsidRPr="00EB6D39" w:rsidRDefault="00B710A6" w:rsidP="00B710A6">
            <w:pPr>
              <w:spacing w:after="0" w:line="240" w:lineRule="auto"/>
              <w:rPr>
                <w:rFonts w:ascii="Times New Roman" w:eastAsia="Times New Roman" w:hAnsi="Times New Roman" w:cs="Times New Roman"/>
                <w:sz w:val="18"/>
                <w:szCs w:val="18"/>
                <w:lang w:eastAsia="sk-SK"/>
              </w:rPr>
            </w:pPr>
            <w:r w:rsidRPr="00EB6D39">
              <w:rPr>
                <w:rFonts w:ascii="Times New Roman" w:hAnsi="Times New Roman" w:cs="Times New Roman"/>
                <w:sz w:val="18"/>
                <w:szCs w:val="18"/>
                <w:lang w:eastAsia="sk-SK"/>
              </w:rPr>
              <w:t>Nad rozsah riadku „Ústavná zdravotná starostlivosť“, Ú</w:t>
            </w:r>
            <w:r w:rsidRPr="00EB6D39">
              <w:rPr>
                <w:rFonts w:ascii="Times New Roman" w:eastAsia="Times New Roman" w:hAnsi="Times New Roman" w:cs="Times New Roman"/>
                <w:sz w:val="18"/>
                <w:szCs w:val="18"/>
                <w:lang w:eastAsia="sk-SK"/>
              </w:rPr>
              <w:t xml:space="preserve">stavná zdravotná starostlivosť poskytovaná v nemocniciach, ktoré sú </w:t>
            </w:r>
          </w:p>
          <w:p w14:paraId="3FC6E6DA" w14:textId="4CFF29FD" w:rsidR="00B710A6" w:rsidRPr="00EB6D39" w:rsidRDefault="00B710A6" w:rsidP="00B710A6">
            <w:pPr>
              <w:pStyle w:val="Odsekzoznamu"/>
              <w:numPr>
                <w:ilvl w:val="0"/>
                <w:numId w:val="45"/>
              </w:numPr>
              <w:spacing w:after="0" w:line="240" w:lineRule="auto"/>
              <w:ind w:left="358"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uvedené v zozname nemocníc</w:t>
            </w:r>
            <w:r w:rsidRPr="00EB6D39">
              <w:rPr>
                <w:rFonts w:ascii="Times New Roman" w:hAnsi="Times New Roman" w:cs="Times New Roman"/>
                <w:sz w:val="18"/>
                <w:szCs w:val="18"/>
                <w:vertAlign w:val="superscript"/>
                <w:lang w:eastAsia="sk-SK"/>
              </w:rPr>
              <w:t>1</w:t>
            </w:r>
            <w:r w:rsidRPr="00EB6D39">
              <w:rPr>
                <w:rFonts w:ascii="Times New Roman" w:hAnsi="Times New Roman" w:cs="Times New Roman"/>
                <w:sz w:val="18"/>
                <w:szCs w:val="18"/>
                <w:lang w:eastAsia="sk-SK"/>
              </w:rPr>
              <w:t>) a ktorých procesy riadenia centrálne koordinuje Ministerstvo zdravotníctva Slovenskej republiky</w:t>
            </w:r>
            <w:r w:rsidR="00BC7CBC">
              <w:rPr>
                <w:rFonts w:ascii="Times New Roman" w:hAnsi="Times New Roman" w:cs="Times New Roman"/>
                <w:sz w:val="18"/>
                <w:szCs w:val="18"/>
                <w:lang w:eastAsia="sk-SK"/>
              </w:rPr>
              <w:t>,</w:t>
            </w:r>
            <w:r w:rsidRPr="00EB6D39">
              <w:rPr>
                <w:rFonts w:ascii="Times New Roman" w:hAnsi="Times New Roman" w:cs="Times New Roman"/>
                <w:sz w:val="18"/>
                <w:szCs w:val="18"/>
                <w:lang w:eastAsia="sk-SK"/>
              </w:rPr>
              <w:t xml:space="preserve"> </w:t>
            </w:r>
          </w:p>
          <w:p w14:paraId="4C93185B" w14:textId="77777777" w:rsidR="00B710A6" w:rsidRPr="00EB6D39" w:rsidRDefault="00B710A6" w:rsidP="00B710A6">
            <w:pPr>
              <w:pStyle w:val="Odsekzoznamu"/>
              <w:numPr>
                <w:ilvl w:val="0"/>
                <w:numId w:val="45"/>
              </w:numPr>
              <w:spacing w:after="0" w:line="240" w:lineRule="auto"/>
              <w:ind w:left="357" w:hanging="284"/>
              <w:contextualSpacing w:val="0"/>
              <w:rPr>
                <w:rFonts w:ascii="Times New Roman" w:hAnsi="Times New Roman" w:cs="Times New Roman"/>
                <w:sz w:val="18"/>
                <w:szCs w:val="18"/>
                <w:lang w:eastAsia="sk-SK"/>
              </w:rPr>
            </w:pPr>
            <w:r w:rsidRPr="00EB6D39">
              <w:rPr>
                <w:rFonts w:ascii="Times New Roman" w:hAnsi="Times New Roman" w:cs="Times New Roman"/>
                <w:sz w:val="18"/>
                <w:szCs w:val="18"/>
                <w:lang w:eastAsia="sk-SK"/>
              </w:rPr>
              <w:t>príspevkovou organizáciou Ministerstva obrany Slovenskej republiky, a</w:t>
            </w:r>
          </w:p>
          <w:p w14:paraId="06691590" w14:textId="1BC0DCEA" w:rsidR="00B710A6" w:rsidRPr="00EB6D39" w:rsidRDefault="00B710A6" w:rsidP="00B710A6">
            <w:pPr>
              <w:pStyle w:val="Odsekzoznamu"/>
              <w:numPr>
                <w:ilvl w:val="0"/>
                <w:numId w:val="45"/>
              </w:numPr>
              <w:spacing w:after="0" w:line="240" w:lineRule="auto"/>
              <w:ind w:left="357" w:hanging="284"/>
              <w:contextualSpacing w:val="0"/>
              <w:rPr>
                <w:rFonts w:ascii="Times New Roman" w:eastAsia="Times New Roman" w:hAnsi="Times New Roman" w:cs="Times New Roman"/>
                <w:kern w:val="0"/>
                <w:sz w:val="20"/>
                <w:szCs w:val="20"/>
                <w:lang w:eastAsia="sk-SK"/>
                <w14:ligatures w14:val="none"/>
              </w:rPr>
            </w:pPr>
            <w:r w:rsidRPr="00EB6D39">
              <w:rPr>
                <w:rFonts w:ascii="Times New Roman" w:hAnsi="Times New Roman" w:cs="Times New Roman"/>
                <w:sz w:val="18"/>
                <w:szCs w:val="18"/>
                <w:lang w:eastAsia="sk-SK"/>
              </w:rPr>
              <w:t xml:space="preserve">akciovou spoločnosťou </w:t>
            </w:r>
            <w:r w:rsidR="00A84765" w:rsidRPr="00A84765">
              <w:rPr>
                <w:rFonts w:ascii="Times New Roman" w:hAnsi="Times New Roman" w:cs="Times New Roman"/>
                <w:sz w:val="18"/>
                <w:szCs w:val="18"/>
                <w:lang w:eastAsia="sk-SK"/>
              </w:rPr>
              <w:t>v zakladateľskej pôsobnosti Ministerstva vnútra Slovenskej republiky</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086CE366" w14:textId="3B130EB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117 971 744</w:t>
            </w:r>
          </w:p>
        </w:tc>
        <w:tc>
          <w:tcPr>
            <w:tcW w:w="1484" w:type="dxa"/>
            <w:tcBorders>
              <w:top w:val="nil"/>
              <w:left w:val="nil"/>
              <w:bottom w:val="single" w:sz="4" w:space="0" w:color="auto"/>
              <w:right w:val="single" w:sz="4" w:space="0" w:color="auto"/>
            </w:tcBorders>
            <w:shd w:val="clear" w:color="auto" w:fill="auto"/>
            <w:noWrap/>
            <w:vAlign w:val="center"/>
            <w:hideMark/>
          </w:tcPr>
          <w:p w14:paraId="545C685D" w14:textId="671D3E2C"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56 480 908</w:t>
            </w:r>
          </w:p>
        </w:tc>
        <w:tc>
          <w:tcPr>
            <w:tcW w:w="1696" w:type="dxa"/>
            <w:tcBorders>
              <w:top w:val="nil"/>
              <w:left w:val="nil"/>
              <w:bottom w:val="single" w:sz="4" w:space="0" w:color="auto"/>
              <w:right w:val="single" w:sz="4" w:space="0" w:color="auto"/>
            </w:tcBorders>
            <w:shd w:val="clear" w:color="auto" w:fill="auto"/>
            <w:noWrap/>
            <w:vAlign w:val="center"/>
            <w:hideMark/>
          </w:tcPr>
          <w:p w14:paraId="781CAD58" w14:textId="24E332A0"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16 547 347</w:t>
            </w:r>
          </w:p>
        </w:tc>
        <w:tc>
          <w:tcPr>
            <w:tcW w:w="1308" w:type="dxa"/>
            <w:tcBorders>
              <w:top w:val="nil"/>
              <w:left w:val="nil"/>
              <w:bottom w:val="single" w:sz="4" w:space="0" w:color="auto"/>
              <w:right w:val="single" w:sz="4" w:space="0" w:color="auto"/>
            </w:tcBorders>
            <w:shd w:val="clear" w:color="auto" w:fill="auto"/>
            <w:noWrap/>
            <w:vAlign w:val="center"/>
            <w:hideMark/>
          </w:tcPr>
          <w:p w14:paraId="7F3308F1" w14:textId="6C25C17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191 000 000</w:t>
            </w:r>
          </w:p>
        </w:tc>
        <w:tc>
          <w:tcPr>
            <w:tcW w:w="1298" w:type="dxa"/>
            <w:tcBorders>
              <w:top w:val="nil"/>
              <w:left w:val="nil"/>
              <w:bottom w:val="single" w:sz="4" w:space="0" w:color="auto"/>
              <w:right w:val="single" w:sz="4" w:space="0" w:color="auto"/>
            </w:tcBorders>
            <w:shd w:val="clear" w:color="auto" w:fill="auto"/>
            <w:noWrap/>
            <w:vAlign w:val="center"/>
          </w:tcPr>
          <w:p w14:paraId="4BACFED3" w14:textId="1AFEE166" w:rsidR="00B710A6" w:rsidRPr="00B710A6" w:rsidRDefault="00B710A6" w:rsidP="00B710A6">
            <w:pPr>
              <w:spacing w:after="0" w:line="240" w:lineRule="auto"/>
              <w:rPr>
                <w:rFonts w:ascii="Times New Roman" w:eastAsia="Times New Roman" w:hAnsi="Times New Roman" w:cs="Times New Roman"/>
                <w:b/>
                <w:bCs/>
                <w:kern w:val="0"/>
                <w:sz w:val="20"/>
                <w:szCs w:val="20"/>
                <w:lang w:eastAsia="sk-SK"/>
                <w14:ligatures w14:val="none"/>
              </w:rPr>
            </w:pPr>
          </w:p>
        </w:tc>
        <w:tc>
          <w:tcPr>
            <w:tcW w:w="1190" w:type="dxa"/>
            <w:tcBorders>
              <w:top w:val="nil"/>
              <w:left w:val="nil"/>
              <w:bottom w:val="single" w:sz="4" w:space="0" w:color="auto"/>
              <w:right w:val="single" w:sz="8" w:space="0" w:color="auto"/>
            </w:tcBorders>
            <w:shd w:val="clear" w:color="auto" w:fill="auto"/>
            <w:noWrap/>
            <w:vAlign w:val="center"/>
          </w:tcPr>
          <w:p w14:paraId="46B8B8B9" w14:textId="3D9BBF18"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p>
        </w:tc>
      </w:tr>
      <w:tr w:rsidR="00B710A6" w:rsidRPr="00EB6D39" w14:paraId="1D99580C" w14:textId="77777777" w:rsidTr="00B710A6">
        <w:trPr>
          <w:trHeight w:val="280"/>
        </w:trPr>
        <w:tc>
          <w:tcPr>
            <w:tcW w:w="5252" w:type="dxa"/>
            <w:shd w:val="clear" w:color="auto" w:fill="auto"/>
            <w:vAlign w:val="bottom"/>
            <w:hideMark/>
          </w:tcPr>
          <w:p w14:paraId="2C594A39"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Všeobecná ambulantná zdravotná starostlivosť</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78814472" w14:textId="5DE72C7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266 714 547</w:t>
            </w:r>
          </w:p>
        </w:tc>
        <w:tc>
          <w:tcPr>
            <w:tcW w:w="1484" w:type="dxa"/>
            <w:tcBorders>
              <w:top w:val="nil"/>
              <w:left w:val="nil"/>
              <w:bottom w:val="single" w:sz="4" w:space="0" w:color="auto"/>
              <w:right w:val="single" w:sz="4" w:space="0" w:color="auto"/>
            </w:tcBorders>
            <w:shd w:val="clear" w:color="auto" w:fill="auto"/>
            <w:noWrap/>
            <w:vAlign w:val="center"/>
            <w:hideMark/>
          </w:tcPr>
          <w:p w14:paraId="122BBE28" w14:textId="23594CA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172 959 916</w:t>
            </w:r>
          </w:p>
        </w:tc>
        <w:tc>
          <w:tcPr>
            <w:tcW w:w="1696" w:type="dxa"/>
            <w:tcBorders>
              <w:top w:val="nil"/>
              <w:left w:val="nil"/>
              <w:bottom w:val="single" w:sz="4" w:space="0" w:color="auto"/>
              <w:right w:val="single" w:sz="4" w:space="0" w:color="auto"/>
            </w:tcBorders>
            <w:shd w:val="clear" w:color="auto" w:fill="auto"/>
            <w:noWrap/>
            <w:vAlign w:val="center"/>
            <w:hideMark/>
          </w:tcPr>
          <w:p w14:paraId="332AB7DC" w14:textId="05311098"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56 884 784</w:t>
            </w:r>
          </w:p>
        </w:tc>
        <w:tc>
          <w:tcPr>
            <w:tcW w:w="1308" w:type="dxa"/>
            <w:tcBorders>
              <w:top w:val="nil"/>
              <w:left w:val="nil"/>
              <w:bottom w:val="single" w:sz="4" w:space="0" w:color="auto"/>
              <w:right w:val="single" w:sz="4" w:space="0" w:color="auto"/>
            </w:tcBorders>
            <w:shd w:val="clear" w:color="auto" w:fill="auto"/>
            <w:noWrap/>
            <w:vAlign w:val="center"/>
            <w:hideMark/>
          </w:tcPr>
          <w:p w14:paraId="08DC36A9" w14:textId="76236FD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496 559 246</w:t>
            </w:r>
          </w:p>
        </w:tc>
        <w:tc>
          <w:tcPr>
            <w:tcW w:w="1298" w:type="dxa"/>
            <w:tcBorders>
              <w:top w:val="nil"/>
              <w:left w:val="nil"/>
              <w:bottom w:val="single" w:sz="4" w:space="0" w:color="auto"/>
              <w:right w:val="single" w:sz="4" w:space="0" w:color="auto"/>
            </w:tcBorders>
            <w:shd w:val="clear" w:color="auto" w:fill="auto"/>
            <w:noWrap/>
            <w:vAlign w:val="center"/>
            <w:hideMark/>
          </w:tcPr>
          <w:p w14:paraId="70D1C33B" w14:textId="7D2828D1"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5,22%</w:t>
            </w:r>
          </w:p>
        </w:tc>
        <w:tc>
          <w:tcPr>
            <w:tcW w:w="1190" w:type="dxa"/>
            <w:tcBorders>
              <w:top w:val="nil"/>
              <w:left w:val="nil"/>
              <w:bottom w:val="single" w:sz="4" w:space="0" w:color="auto"/>
              <w:right w:val="single" w:sz="8" w:space="0" w:color="auto"/>
            </w:tcBorders>
            <w:shd w:val="clear" w:color="auto" w:fill="auto"/>
            <w:noWrap/>
            <w:vAlign w:val="center"/>
            <w:hideMark/>
          </w:tcPr>
          <w:p w14:paraId="3A3BA798" w14:textId="4F6CE0E9"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24 646 610</w:t>
            </w:r>
          </w:p>
        </w:tc>
      </w:tr>
      <w:tr w:rsidR="00B710A6" w:rsidRPr="00EB6D39" w14:paraId="37664312" w14:textId="77777777" w:rsidTr="00B710A6">
        <w:trPr>
          <w:trHeight w:val="284"/>
        </w:trPr>
        <w:tc>
          <w:tcPr>
            <w:tcW w:w="5252" w:type="dxa"/>
            <w:shd w:val="clear" w:color="auto" w:fill="auto"/>
            <w:vAlign w:val="bottom"/>
            <w:hideMark/>
          </w:tcPr>
          <w:p w14:paraId="1ED3986E"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Spoločné vyšetrovacie a liečebné zložky</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368B8628" w14:textId="7259049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374 556 702</w:t>
            </w:r>
          </w:p>
        </w:tc>
        <w:tc>
          <w:tcPr>
            <w:tcW w:w="1484" w:type="dxa"/>
            <w:tcBorders>
              <w:top w:val="nil"/>
              <w:left w:val="nil"/>
              <w:bottom w:val="single" w:sz="4" w:space="0" w:color="auto"/>
              <w:right w:val="single" w:sz="4" w:space="0" w:color="auto"/>
            </w:tcBorders>
            <w:shd w:val="clear" w:color="auto" w:fill="auto"/>
            <w:noWrap/>
            <w:vAlign w:val="center"/>
            <w:hideMark/>
          </w:tcPr>
          <w:p w14:paraId="21A69057" w14:textId="4BCD64B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161 753 718</w:t>
            </w:r>
          </w:p>
        </w:tc>
        <w:tc>
          <w:tcPr>
            <w:tcW w:w="1696" w:type="dxa"/>
            <w:tcBorders>
              <w:top w:val="nil"/>
              <w:left w:val="nil"/>
              <w:bottom w:val="single" w:sz="4" w:space="0" w:color="auto"/>
              <w:right w:val="single" w:sz="4" w:space="0" w:color="auto"/>
            </w:tcBorders>
            <w:shd w:val="clear" w:color="auto" w:fill="auto"/>
            <w:noWrap/>
            <w:vAlign w:val="center"/>
            <w:hideMark/>
          </w:tcPr>
          <w:p w14:paraId="0DFC0AFD" w14:textId="19187CC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67 890 154</w:t>
            </w:r>
          </w:p>
        </w:tc>
        <w:tc>
          <w:tcPr>
            <w:tcW w:w="1308" w:type="dxa"/>
            <w:tcBorders>
              <w:top w:val="nil"/>
              <w:left w:val="nil"/>
              <w:bottom w:val="single" w:sz="4" w:space="0" w:color="auto"/>
              <w:right w:val="single" w:sz="4" w:space="0" w:color="auto"/>
            </w:tcBorders>
            <w:shd w:val="clear" w:color="auto" w:fill="auto"/>
            <w:noWrap/>
            <w:vAlign w:val="center"/>
            <w:hideMark/>
          </w:tcPr>
          <w:p w14:paraId="193E33ED" w14:textId="406EF16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604 200 574</w:t>
            </w:r>
          </w:p>
        </w:tc>
        <w:tc>
          <w:tcPr>
            <w:tcW w:w="1298" w:type="dxa"/>
            <w:tcBorders>
              <w:top w:val="nil"/>
              <w:left w:val="nil"/>
              <w:bottom w:val="single" w:sz="4" w:space="0" w:color="auto"/>
              <w:right w:val="single" w:sz="4" w:space="0" w:color="auto"/>
            </w:tcBorders>
            <w:shd w:val="clear" w:color="auto" w:fill="auto"/>
            <w:noWrap/>
            <w:vAlign w:val="center"/>
            <w:hideMark/>
          </w:tcPr>
          <w:p w14:paraId="6E481F55" w14:textId="1B885A85"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5,18%</w:t>
            </w:r>
          </w:p>
        </w:tc>
        <w:tc>
          <w:tcPr>
            <w:tcW w:w="1190" w:type="dxa"/>
            <w:tcBorders>
              <w:top w:val="nil"/>
              <w:left w:val="nil"/>
              <w:bottom w:val="single" w:sz="4" w:space="0" w:color="auto"/>
              <w:right w:val="single" w:sz="8" w:space="0" w:color="auto"/>
            </w:tcBorders>
            <w:shd w:val="clear" w:color="auto" w:fill="auto"/>
            <w:noWrap/>
            <w:vAlign w:val="center"/>
            <w:hideMark/>
          </w:tcPr>
          <w:p w14:paraId="5FE6E183" w14:textId="3FB97E6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29 782 661</w:t>
            </w:r>
          </w:p>
        </w:tc>
      </w:tr>
      <w:tr w:rsidR="00B710A6" w:rsidRPr="00EB6D39" w14:paraId="0DAE9DE6" w14:textId="77777777" w:rsidTr="00B710A6">
        <w:trPr>
          <w:trHeight w:val="274"/>
        </w:trPr>
        <w:tc>
          <w:tcPr>
            <w:tcW w:w="5252" w:type="dxa"/>
            <w:shd w:val="clear" w:color="auto" w:fill="auto"/>
            <w:vAlign w:val="bottom"/>
            <w:hideMark/>
          </w:tcPr>
          <w:p w14:paraId="6927D344"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Špecializovaná ambulantná zdravotná starostlivosť</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37E0CDB7" w14:textId="1AB3922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891 996 313</w:t>
            </w:r>
          </w:p>
        </w:tc>
        <w:tc>
          <w:tcPr>
            <w:tcW w:w="1484" w:type="dxa"/>
            <w:tcBorders>
              <w:top w:val="nil"/>
              <w:left w:val="nil"/>
              <w:bottom w:val="single" w:sz="4" w:space="0" w:color="auto"/>
              <w:right w:val="single" w:sz="4" w:space="0" w:color="auto"/>
            </w:tcBorders>
            <w:shd w:val="clear" w:color="auto" w:fill="auto"/>
            <w:noWrap/>
            <w:vAlign w:val="center"/>
            <w:hideMark/>
          </w:tcPr>
          <w:p w14:paraId="4640C28B" w14:textId="553E726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448 432 447</w:t>
            </w:r>
          </w:p>
        </w:tc>
        <w:tc>
          <w:tcPr>
            <w:tcW w:w="1696" w:type="dxa"/>
            <w:tcBorders>
              <w:top w:val="nil"/>
              <w:left w:val="nil"/>
              <w:bottom w:val="single" w:sz="4" w:space="0" w:color="auto"/>
              <w:right w:val="single" w:sz="4" w:space="0" w:color="auto"/>
            </w:tcBorders>
            <w:shd w:val="clear" w:color="auto" w:fill="auto"/>
            <w:noWrap/>
            <w:vAlign w:val="center"/>
            <w:hideMark/>
          </w:tcPr>
          <w:p w14:paraId="3D7418E6" w14:textId="68BC497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157 088 280</w:t>
            </w:r>
          </w:p>
        </w:tc>
        <w:tc>
          <w:tcPr>
            <w:tcW w:w="1308" w:type="dxa"/>
            <w:tcBorders>
              <w:top w:val="nil"/>
              <w:left w:val="nil"/>
              <w:bottom w:val="single" w:sz="4" w:space="0" w:color="auto"/>
              <w:right w:val="single" w:sz="4" w:space="0" w:color="auto"/>
            </w:tcBorders>
            <w:shd w:val="clear" w:color="auto" w:fill="auto"/>
            <w:noWrap/>
            <w:vAlign w:val="center"/>
            <w:hideMark/>
          </w:tcPr>
          <w:p w14:paraId="29EC178F" w14:textId="22DE9A9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1 497 517 041</w:t>
            </w:r>
          </w:p>
        </w:tc>
        <w:tc>
          <w:tcPr>
            <w:tcW w:w="1298" w:type="dxa"/>
            <w:tcBorders>
              <w:top w:val="nil"/>
              <w:left w:val="nil"/>
              <w:bottom w:val="single" w:sz="4" w:space="0" w:color="auto"/>
              <w:right w:val="single" w:sz="4" w:space="0" w:color="auto"/>
            </w:tcBorders>
            <w:shd w:val="clear" w:color="auto" w:fill="auto"/>
            <w:noWrap/>
            <w:vAlign w:val="center"/>
            <w:hideMark/>
          </w:tcPr>
          <w:p w14:paraId="686EAB82" w14:textId="38D633F8"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5,68%</w:t>
            </w:r>
          </w:p>
        </w:tc>
        <w:tc>
          <w:tcPr>
            <w:tcW w:w="1190" w:type="dxa"/>
            <w:tcBorders>
              <w:top w:val="nil"/>
              <w:left w:val="nil"/>
              <w:bottom w:val="single" w:sz="4" w:space="0" w:color="auto"/>
              <w:right w:val="single" w:sz="8" w:space="0" w:color="auto"/>
            </w:tcBorders>
            <w:shd w:val="clear" w:color="auto" w:fill="auto"/>
            <w:noWrap/>
            <w:vAlign w:val="center"/>
            <w:hideMark/>
          </w:tcPr>
          <w:p w14:paraId="78B688E4" w14:textId="37AE9B00"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80 531 838</w:t>
            </w:r>
          </w:p>
        </w:tc>
      </w:tr>
      <w:tr w:rsidR="00B710A6" w:rsidRPr="00EB6D39" w14:paraId="35CC00B8" w14:textId="77777777" w:rsidTr="00B710A6">
        <w:trPr>
          <w:trHeight w:val="278"/>
        </w:trPr>
        <w:tc>
          <w:tcPr>
            <w:tcW w:w="5252" w:type="dxa"/>
            <w:shd w:val="clear" w:color="auto" w:fill="auto"/>
            <w:vAlign w:val="bottom"/>
            <w:hideMark/>
          </w:tcPr>
          <w:p w14:paraId="7EEC38D3"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Ambulantná pohotovostná služba</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474CE04D" w14:textId="1ABD26FD"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11 734 739</w:t>
            </w:r>
          </w:p>
        </w:tc>
        <w:tc>
          <w:tcPr>
            <w:tcW w:w="1484" w:type="dxa"/>
            <w:tcBorders>
              <w:top w:val="nil"/>
              <w:left w:val="nil"/>
              <w:bottom w:val="single" w:sz="4" w:space="0" w:color="auto"/>
              <w:right w:val="single" w:sz="4" w:space="0" w:color="auto"/>
            </w:tcBorders>
            <w:shd w:val="clear" w:color="auto" w:fill="auto"/>
            <w:noWrap/>
            <w:vAlign w:val="center"/>
            <w:hideMark/>
          </w:tcPr>
          <w:p w14:paraId="6B45C828" w14:textId="00D89E8D"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7 551 173</w:t>
            </w:r>
          </w:p>
        </w:tc>
        <w:tc>
          <w:tcPr>
            <w:tcW w:w="1696" w:type="dxa"/>
            <w:tcBorders>
              <w:top w:val="nil"/>
              <w:left w:val="nil"/>
              <w:bottom w:val="single" w:sz="4" w:space="0" w:color="auto"/>
              <w:right w:val="single" w:sz="4" w:space="0" w:color="auto"/>
            </w:tcBorders>
            <w:shd w:val="clear" w:color="auto" w:fill="auto"/>
            <w:noWrap/>
            <w:vAlign w:val="center"/>
            <w:hideMark/>
          </w:tcPr>
          <w:p w14:paraId="6F1C8CBB" w14:textId="72D7CB64"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2 952 960</w:t>
            </w:r>
          </w:p>
        </w:tc>
        <w:tc>
          <w:tcPr>
            <w:tcW w:w="1308" w:type="dxa"/>
            <w:tcBorders>
              <w:top w:val="nil"/>
              <w:left w:val="nil"/>
              <w:bottom w:val="single" w:sz="4" w:space="0" w:color="auto"/>
              <w:right w:val="single" w:sz="4" w:space="0" w:color="auto"/>
            </w:tcBorders>
            <w:shd w:val="clear" w:color="auto" w:fill="auto"/>
            <w:noWrap/>
            <w:vAlign w:val="center"/>
            <w:hideMark/>
          </w:tcPr>
          <w:p w14:paraId="354FD8D9" w14:textId="09FD54EB"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22 238 873</w:t>
            </w:r>
          </w:p>
        </w:tc>
        <w:tc>
          <w:tcPr>
            <w:tcW w:w="1298" w:type="dxa"/>
            <w:tcBorders>
              <w:top w:val="nil"/>
              <w:left w:val="nil"/>
              <w:bottom w:val="single" w:sz="4" w:space="0" w:color="auto"/>
              <w:right w:val="single" w:sz="4" w:space="0" w:color="auto"/>
            </w:tcBorders>
            <w:shd w:val="clear" w:color="auto" w:fill="auto"/>
            <w:noWrap/>
            <w:vAlign w:val="center"/>
            <w:hideMark/>
          </w:tcPr>
          <w:p w14:paraId="288586C9" w14:textId="23D4A5A7"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4,37%</w:t>
            </w:r>
          </w:p>
        </w:tc>
        <w:tc>
          <w:tcPr>
            <w:tcW w:w="1190" w:type="dxa"/>
            <w:tcBorders>
              <w:top w:val="nil"/>
              <w:left w:val="nil"/>
              <w:bottom w:val="single" w:sz="4" w:space="0" w:color="auto"/>
              <w:right w:val="single" w:sz="8" w:space="0" w:color="auto"/>
            </w:tcBorders>
            <w:shd w:val="clear" w:color="auto" w:fill="auto"/>
            <w:noWrap/>
            <w:vAlign w:val="center"/>
            <w:hideMark/>
          </w:tcPr>
          <w:p w14:paraId="25908F09" w14:textId="4DDB8896"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930 432</w:t>
            </w:r>
          </w:p>
        </w:tc>
      </w:tr>
      <w:tr w:rsidR="00B710A6" w:rsidRPr="00EB6D39" w14:paraId="3834DF10" w14:textId="77777777" w:rsidTr="00B710A6">
        <w:trPr>
          <w:trHeight w:val="254"/>
        </w:trPr>
        <w:tc>
          <w:tcPr>
            <w:tcW w:w="5252" w:type="dxa"/>
            <w:shd w:val="clear" w:color="auto" w:fill="auto"/>
            <w:vAlign w:val="bottom"/>
            <w:hideMark/>
          </w:tcPr>
          <w:p w14:paraId="6E447260"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Záchranná zdravotná služba</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52E4BD6B" w14:textId="60D6C9F0"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121 199 947</w:t>
            </w:r>
          </w:p>
        </w:tc>
        <w:tc>
          <w:tcPr>
            <w:tcW w:w="1484" w:type="dxa"/>
            <w:tcBorders>
              <w:top w:val="nil"/>
              <w:left w:val="nil"/>
              <w:bottom w:val="single" w:sz="4" w:space="0" w:color="auto"/>
              <w:right w:val="single" w:sz="4" w:space="0" w:color="auto"/>
            </w:tcBorders>
            <w:shd w:val="clear" w:color="auto" w:fill="auto"/>
            <w:noWrap/>
            <w:vAlign w:val="center"/>
            <w:hideMark/>
          </w:tcPr>
          <w:p w14:paraId="2C4384F8" w14:textId="514AE900"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79 458 892</w:t>
            </w:r>
          </w:p>
        </w:tc>
        <w:tc>
          <w:tcPr>
            <w:tcW w:w="1696" w:type="dxa"/>
            <w:tcBorders>
              <w:top w:val="nil"/>
              <w:left w:val="nil"/>
              <w:bottom w:val="single" w:sz="4" w:space="0" w:color="auto"/>
              <w:right w:val="single" w:sz="4" w:space="0" w:color="auto"/>
            </w:tcBorders>
            <w:shd w:val="clear" w:color="auto" w:fill="auto"/>
            <w:noWrap/>
            <w:vAlign w:val="center"/>
            <w:hideMark/>
          </w:tcPr>
          <w:p w14:paraId="3550E26E" w14:textId="5278F208"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27 847 486</w:t>
            </w:r>
          </w:p>
        </w:tc>
        <w:tc>
          <w:tcPr>
            <w:tcW w:w="1308" w:type="dxa"/>
            <w:tcBorders>
              <w:top w:val="nil"/>
              <w:left w:val="nil"/>
              <w:bottom w:val="single" w:sz="4" w:space="0" w:color="auto"/>
              <w:right w:val="single" w:sz="4" w:space="0" w:color="auto"/>
            </w:tcBorders>
            <w:shd w:val="clear" w:color="auto" w:fill="auto"/>
            <w:noWrap/>
            <w:vAlign w:val="center"/>
            <w:hideMark/>
          </w:tcPr>
          <w:p w14:paraId="7B0B629C" w14:textId="2049BC70"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228 506 325</w:t>
            </w:r>
          </w:p>
        </w:tc>
        <w:tc>
          <w:tcPr>
            <w:tcW w:w="1298" w:type="dxa"/>
            <w:tcBorders>
              <w:top w:val="nil"/>
              <w:left w:val="nil"/>
              <w:bottom w:val="single" w:sz="4" w:space="0" w:color="auto"/>
              <w:right w:val="single" w:sz="4" w:space="0" w:color="auto"/>
            </w:tcBorders>
            <w:shd w:val="clear" w:color="auto" w:fill="auto"/>
            <w:noWrap/>
            <w:vAlign w:val="center"/>
            <w:hideMark/>
          </w:tcPr>
          <w:p w14:paraId="7DE3E112" w14:textId="65DE6287"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5,23%</w:t>
            </w:r>
          </w:p>
        </w:tc>
        <w:tc>
          <w:tcPr>
            <w:tcW w:w="1190" w:type="dxa"/>
            <w:tcBorders>
              <w:top w:val="nil"/>
              <w:left w:val="nil"/>
              <w:bottom w:val="single" w:sz="4" w:space="0" w:color="auto"/>
              <w:right w:val="single" w:sz="8" w:space="0" w:color="auto"/>
            </w:tcBorders>
            <w:shd w:val="clear" w:color="auto" w:fill="auto"/>
            <w:noWrap/>
            <w:vAlign w:val="center"/>
            <w:hideMark/>
          </w:tcPr>
          <w:p w14:paraId="2A3E6EFE" w14:textId="29814A5C"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11 360 883</w:t>
            </w:r>
          </w:p>
        </w:tc>
      </w:tr>
      <w:tr w:rsidR="00B710A6" w:rsidRPr="00EB6D39" w14:paraId="294415F1" w14:textId="77777777" w:rsidTr="00B710A6">
        <w:trPr>
          <w:trHeight w:val="272"/>
        </w:trPr>
        <w:tc>
          <w:tcPr>
            <w:tcW w:w="5252" w:type="dxa"/>
            <w:shd w:val="clear" w:color="auto" w:fill="auto"/>
            <w:vAlign w:val="bottom"/>
            <w:hideMark/>
          </w:tcPr>
          <w:p w14:paraId="5F5E4C04"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Kúpeľná starostlivosť</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3F97222D" w14:textId="2397A101"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43 595 419</w:t>
            </w:r>
          </w:p>
        </w:tc>
        <w:tc>
          <w:tcPr>
            <w:tcW w:w="1484" w:type="dxa"/>
            <w:tcBorders>
              <w:top w:val="nil"/>
              <w:left w:val="nil"/>
              <w:bottom w:val="single" w:sz="4" w:space="0" w:color="auto"/>
              <w:right w:val="single" w:sz="4" w:space="0" w:color="auto"/>
            </w:tcBorders>
            <w:shd w:val="clear" w:color="auto" w:fill="auto"/>
            <w:noWrap/>
            <w:vAlign w:val="center"/>
            <w:hideMark/>
          </w:tcPr>
          <w:p w14:paraId="2406E154" w14:textId="5AF53C6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20 756 433</w:t>
            </w:r>
          </w:p>
        </w:tc>
        <w:tc>
          <w:tcPr>
            <w:tcW w:w="1696" w:type="dxa"/>
            <w:tcBorders>
              <w:top w:val="nil"/>
              <w:left w:val="nil"/>
              <w:bottom w:val="single" w:sz="4" w:space="0" w:color="auto"/>
              <w:right w:val="single" w:sz="4" w:space="0" w:color="auto"/>
            </w:tcBorders>
            <w:shd w:val="clear" w:color="auto" w:fill="auto"/>
            <w:noWrap/>
            <w:vAlign w:val="center"/>
            <w:hideMark/>
          </w:tcPr>
          <w:p w14:paraId="36FF2A35" w14:textId="5A9F77A4"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4 613 994</w:t>
            </w:r>
          </w:p>
        </w:tc>
        <w:tc>
          <w:tcPr>
            <w:tcW w:w="1308" w:type="dxa"/>
            <w:tcBorders>
              <w:top w:val="nil"/>
              <w:left w:val="nil"/>
              <w:bottom w:val="single" w:sz="4" w:space="0" w:color="auto"/>
              <w:right w:val="single" w:sz="4" w:space="0" w:color="auto"/>
            </w:tcBorders>
            <w:shd w:val="clear" w:color="auto" w:fill="auto"/>
            <w:noWrap/>
            <w:vAlign w:val="center"/>
            <w:hideMark/>
          </w:tcPr>
          <w:p w14:paraId="76031329" w14:textId="34233DD1"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68 965 846</w:t>
            </w:r>
          </w:p>
        </w:tc>
        <w:tc>
          <w:tcPr>
            <w:tcW w:w="1298" w:type="dxa"/>
            <w:tcBorders>
              <w:top w:val="nil"/>
              <w:left w:val="nil"/>
              <w:bottom w:val="single" w:sz="4" w:space="0" w:color="auto"/>
              <w:right w:val="single" w:sz="4" w:space="0" w:color="auto"/>
            </w:tcBorders>
            <w:shd w:val="clear" w:color="auto" w:fill="auto"/>
            <w:noWrap/>
            <w:vAlign w:val="center"/>
            <w:hideMark/>
          </w:tcPr>
          <w:p w14:paraId="60140DEF" w14:textId="7C4F1746"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3,61%</w:t>
            </w:r>
          </w:p>
        </w:tc>
        <w:tc>
          <w:tcPr>
            <w:tcW w:w="1190" w:type="dxa"/>
            <w:tcBorders>
              <w:top w:val="nil"/>
              <w:left w:val="nil"/>
              <w:bottom w:val="single" w:sz="4" w:space="0" w:color="auto"/>
              <w:right w:val="single" w:sz="8" w:space="0" w:color="auto"/>
            </w:tcBorders>
            <w:shd w:val="clear" w:color="auto" w:fill="auto"/>
            <w:noWrap/>
            <w:vAlign w:val="center"/>
            <w:hideMark/>
          </w:tcPr>
          <w:p w14:paraId="7C677D6F" w14:textId="13CBAD9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2 402 895</w:t>
            </w:r>
          </w:p>
        </w:tc>
      </w:tr>
      <w:tr w:rsidR="00B710A6" w:rsidRPr="00EB6D39" w14:paraId="669523AC" w14:textId="77777777" w:rsidTr="00B710A6">
        <w:trPr>
          <w:trHeight w:val="276"/>
        </w:trPr>
        <w:tc>
          <w:tcPr>
            <w:tcW w:w="5252" w:type="dxa"/>
            <w:shd w:val="clear" w:color="auto" w:fill="auto"/>
            <w:vAlign w:val="bottom"/>
            <w:hideMark/>
          </w:tcPr>
          <w:p w14:paraId="340A99BD"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Dopravná zdravotná služba</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15B8C3AD" w14:textId="16A24EBD"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28 986 528</w:t>
            </w:r>
          </w:p>
        </w:tc>
        <w:tc>
          <w:tcPr>
            <w:tcW w:w="1484" w:type="dxa"/>
            <w:tcBorders>
              <w:top w:val="nil"/>
              <w:left w:val="nil"/>
              <w:bottom w:val="single" w:sz="4" w:space="0" w:color="auto"/>
              <w:right w:val="single" w:sz="4" w:space="0" w:color="auto"/>
            </w:tcBorders>
            <w:shd w:val="clear" w:color="auto" w:fill="auto"/>
            <w:noWrap/>
            <w:vAlign w:val="center"/>
            <w:hideMark/>
          </w:tcPr>
          <w:p w14:paraId="6C37796B" w14:textId="5E424586"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12 451 911</w:t>
            </w:r>
          </w:p>
        </w:tc>
        <w:tc>
          <w:tcPr>
            <w:tcW w:w="1696" w:type="dxa"/>
            <w:tcBorders>
              <w:top w:val="nil"/>
              <w:left w:val="nil"/>
              <w:bottom w:val="single" w:sz="4" w:space="0" w:color="auto"/>
              <w:right w:val="single" w:sz="4" w:space="0" w:color="auto"/>
            </w:tcBorders>
            <w:shd w:val="clear" w:color="auto" w:fill="auto"/>
            <w:noWrap/>
            <w:vAlign w:val="center"/>
            <w:hideMark/>
          </w:tcPr>
          <w:p w14:paraId="2739F934" w14:textId="449AD50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4 836 562</w:t>
            </w:r>
          </w:p>
        </w:tc>
        <w:tc>
          <w:tcPr>
            <w:tcW w:w="1308" w:type="dxa"/>
            <w:tcBorders>
              <w:top w:val="nil"/>
              <w:left w:val="nil"/>
              <w:bottom w:val="single" w:sz="4" w:space="0" w:color="auto"/>
              <w:right w:val="single" w:sz="4" w:space="0" w:color="auto"/>
            </w:tcBorders>
            <w:shd w:val="clear" w:color="auto" w:fill="auto"/>
            <w:noWrap/>
            <w:vAlign w:val="center"/>
            <w:hideMark/>
          </w:tcPr>
          <w:p w14:paraId="761A18FA" w14:textId="0DD7F71A"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46 275 000</w:t>
            </w:r>
          </w:p>
        </w:tc>
        <w:tc>
          <w:tcPr>
            <w:tcW w:w="1298" w:type="dxa"/>
            <w:tcBorders>
              <w:top w:val="nil"/>
              <w:left w:val="nil"/>
              <w:bottom w:val="single" w:sz="4" w:space="0" w:color="auto"/>
              <w:right w:val="single" w:sz="4" w:space="0" w:color="auto"/>
            </w:tcBorders>
            <w:shd w:val="clear" w:color="auto" w:fill="auto"/>
            <w:noWrap/>
            <w:vAlign w:val="center"/>
            <w:hideMark/>
          </w:tcPr>
          <w:p w14:paraId="6016ACCA" w14:textId="7E158007"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2,92%</w:t>
            </w:r>
          </w:p>
        </w:tc>
        <w:tc>
          <w:tcPr>
            <w:tcW w:w="1190" w:type="dxa"/>
            <w:tcBorders>
              <w:top w:val="nil"/>
              <w:left w:val="nil"/>
              <w:bottom w:val="single" w:sz="4" w:space="0" w:color="auto"/>
              <w:right w:val="single" w:sz="8" w:space="0" w:color="auto"/>
            </w:tcBorders>
            <w:shd w:val="clear" w:color="auto" w:fill="auto"/>
            <w:noWrap/>
            <w:vAlign w:val="center"/>
            <w:hideMark/>
          </w:tcPr>
          <w:p w14:paraId="60EFB239" w14:textId="64B21E71"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1 311 896</w:t>
            </w:r>
          </w:p>
        </w:tc>
      </w:tr>
      <w:tr w:rsidR="00B710A6" w:rsidRPr="00EB6D39" w14:paraId="0B899DD8" w14:textId="77777777" w:rsidTr="00B710A6">
        <w:trPr>
          <w:trHeight w:val="280"/>
        </w:trPr>
        <w:tc>
          <w:tcPr>
            <w:tcW w:w="5252" w:type="dxa"/>
            <w:shd w:val="clear" w:color="auto" w:fill="auto"/>
            <w:vAlign w:val="bottom"/>
            <w:hideMark/>
          </w:tcPr>
          <w:p w14:paraId="02867E11"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Vrtuľníková a letecká  záchranná zdravotná služba</w:t>
            </w:r>
          </w:p>
        </w:tc>
        <w:tc>
          <w:tcPr>
            <w:tcW w:w="1389" w:type="dxa"/>
            <w:tcBorders>
              <w:top w:val="nil"/>
              <w:left w:val="single" w:sz="4" w:space="0" w:color="auto"/>
              <w:bottom w:val="single" w:sz="4" w:space="0" w:color="auto"/>
              <w:right w:val="single" w:sz="4" w:space="0" w:color="auto"/>
            </w:tcBorders>
            <w:shd w:val="clear" w:color="auto" w:fill="auto"/>
            <w:noWrap/>
            <w:vAlign w:val="center"/>
            <w:hideMark/>
          </w:tcPr>
          <w:p w14:paraId="7C9EF9F6" w14:textId="57929A3E"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12 089 757</w:t>
            </w:r>
          </w:p>
        </w:tc>
        <w:tc>
          <w:tcPr>
            <w:tcW w:w="1484" w:type="dxa"/>
            <w:tcBorders>
              <w:top w:val="nil"/>
              <w:left w:val="nil"/>
              <w:bottom w:val="single" w:sz="4" w:space="0" w:color="auto"/>
              <w:right w:val="single" w:sz="4" w:space="0" w:color="auto"/>
            </w:tcBorders>
            <w:shd w:val="clear" w:color="auto" w:fill="auto"/>
            <w:noWrap/>
            <w:vAlign w:val="center"/>
            <w:hideMark/>
          </w:tcPr>
          <w:p w14:paraId="79E83D84" w14:textId="20C90E4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7 692 151</w:t>
            </w:r>
          </w:p>
        </w:tc>
        <w:tc>
          <w:tcPr>
            <w:tcW w:w="1696" w:type="dxa"/>
            <w:tcBorders>
              <w:top w:val="nil"/>
              <w:left w:val="nil"/>
              <w:bottom w:val="single" w:sz="4" w:space="0" w:color="auto"/>
              <w:right w:val="single" w:sz="4" w:space="0" w:color="auto"/>
            </w:tcBorders>
            <w:shd w:val="clear" w:color="auto" w:fill="auto"/>
            <w:noWrap/>
            <w:vAlign w:val="center"/>
            <w:hideMark/>
          </w:tcPr>
          <w:p w14:paraId="5D8CD7FA" w14:textId="6FF6FE62"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2 933 792</w:t>
            </w:r>
          </w:p>
        </w:tc>
        <w:tc>
          <w:tcPr>
            <w:tcW w:w="1308" w:type="dxa"/>
            <w:tcBorders>
              <w:top w:val="nil"/>
              <w:left w:val="nil"/>
              <w:bottom w:val="single" w:sz="4" w:space="0" w:color="auto"/>
              <w:right w:val="single" w:sz="4" w:space="0" w:color="auto"/>
            </w:tcBorders>
            <w:shd w:val="clear" w:color="auto" w:fill="auto"/>
            <w:noWrap/>
            <w:vAlign w:val="center"/>
            <w:hideMark/>
          </w:tcPr>
          <w:p w14:paraId="7F4688BA" w14:textId="5157B7A8"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22 715 701</w:t>
            </w:r>
          </w:p>
        </w:tc>
        <w:tc>
          <w:tcPr>
            <w:tcW w:w="1298" w:type="dxa"/>
            <w:tcBorders>
              <w:top w:val="nil"/>
              <w:left w:val="nil"/>
              <w:bottom w:val="single" w:sz="4" w:space="0" w:color="auto"/>
              <w:right w:val="single" w:sz="4" w:space="0" w:color="auto"/>
            </w:tcBorders>
            <w:shd w:val="clear" w:color="auto" w:fill="auto"/>
            <w:noWrap/>
            <w:vAlign w:val="center"/>
            <w:hideMark/>
          </w:tcPr>
          <w:p w14:paraId="046A5726" w14:textId="49C46CAE"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6,44%</w:t>
            </w:r>
          </w:p>
        </w:tc>
        <w:tc>
          <w:tcPr>
            <w:tcW w:w="1190" w:type="dxa"/>
            <w:tcBorders>
              <w:top w:val="nil"/>
              <w:left w:val="nil"/>
              <w:bottom w:val="single" w:sz="4" w:space="0" w:color="auto"/>
              <w:right w:val="single" w:sz="8" w:space="0" w:color="auto"/>
            </w:tcBorders>
            <w:shd w:val="clear" w:color="auto" w:fill="auto"/>
            <w:noWrap/>
            <w:vAlign w:val="center"/>
            <w:hideMark/>
          </w:tcPr>
          <w:p w14:paraId="7E9DEC92" w14:textId="4011038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1 373 870</w:t>
            </w:r>
          </w:p>
        </w:tc>
      </w:tr>
      <w:tr w:rsidR="00B710A6" w:rsidRPr="00EB6D39" w14:paraId="06EAF0C2" w14:textId="77777777" w:rsidTr="00B710A6">
        <w:trPr>
          <w:trHeight w:val="284"/>
        </w:trPr>
        <w:tc>
          <w:tcPr>
            <w:tcW w:w="5252" w:type="dxa"/>
            <w:shd w:val="clear" w:color="auto" w:fill="auto"/>
            <w:vAlign w:val="bottom"/>
            <w:hideMark/>
          </w:tcPr>
          <w:p w14:paraId="3979243C" w14:textId="77777777" w:rsidR="00B710A6" w:rsidRPr="00EB6D39" w:rsidRDefault="00B710A6" w:rsidP="00B710A6">
            <w:pPr>
              <w:spacing w:after="0" w:line="240" w:lineRule="auto"/>
              <w:rPr>
                <w:rFonts w:ascii="Times New Roman" w:eastAsia="Times New Roman" w:hAnsi="Times New Roman" w:cs="Times New Roman"/>
                <w:kern w:val="0"/>
                <w:sz w:val="20"/>
                <w:szCs w:val="20"/>
                <w:lang w:eastAsia="sk-SK"/>
                <w14:ligatures w14:val="none"/>
              </w:rPr>
            </w:pPr>
            <w:r w:rsidRPr="00EB6D39">
              <w:rPr>
                <w:rFonts w:ascii="Times New Roman" w:eastAsia="Times New Roman" w:hAnsi="Times New Roman" w:cs="Times New Roman"/>
                <w:kern w:val="0"/>
                <w:sz w:val="20"/>
                <w:szCs w:val="20"/>
                <w:lang w:eastAsia="sk-SK"/>
                <w14:ligatures w14:val="none"/>
              </w:rPr>
              <w:t>Iná zdravotná starostlivosť</w:t>
            </w:r>
          </w:p>
        </w:tc>
        <w:tc>
          <w:tcPr>
            <w:tcW w:w="1389" w:type="dxa"/>
            <w:tcBorders>
              <w:top w:val="nil"/>
              <w:left w:val="single" w:sz="4" w:space="0" w:color="auto"/>
              <w:bottom w:val="single" w:sz="8" w:space="0" w:color="auto"/>
              <w:right w:val="single" w:sz="4" w:space="0" w:color="auto"/>
            </w:tcBorders>
            <w:shd w:val="clear" w:color="auto" w:fill="auto"/>
            <w:noWrap/>
            <w:vAlign w:val="center"/>
            <w:hideMark/>
          </w:tcPr>
          <w:p w14:paraId="776FF78C" w14:textId="6B71E7E5"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92 382 976</w:t>
            </w:r>
          </w:p>
        </w:tc>
        <w:tc>
          <w:tcPr>
            <w:tcW w:w="1484" w:type="dxa"/>
            <w:tcBorders>
              <w:top w:val="nil"/>
              <w:left w:val="nil"/>
              <w:bottom w:val="single" w:sz="8" w:space="0" w:color="auto"/>
              <w:right w:val="single" w:sz="4" w:space="0" w:color="auto"/>
            </w:tcBorders>
            <w:shd w:val="clear" w:color="auto" w:fill="auto"/>
            <w:noWrap/>
            <w:vAlign w:val="center"/>
            <w:hideMark/>
          </w:tcPr>
          <w:p w14:paraId="1D78A954" w14:textId="498EB703"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35 844 204</w:t>
            </w:r>
          </w:p>
        </w:tc>
        <w:tc>
          <w:tcPr>
            <w:tcW w:w="1696" w:type="dxa"/>
            <w:tcBorders>
              <w:top w:val="nil"/>
              <w:left w:val="nil"/>
              <w:bottom w:val="single" w:sz="8" w:space="0" w:color="auto"/>
              <w:right w:val="single" w:sz="4" w:space="0" w:color="auto"/>
            </w:tcBorders>
            <w:shd w:val="clear" w:color="auto" w:fill="auto"/>
            <w:noWrap/>
            <w:vAlign w:val="center"/>
            <w:hideMark/>
          </w:tcPr>
          <w:p w14:paraId="3904AB8C" w14:textId="125885E6"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15 095 640</w:t>
            </w:r>
          </w:p>
        </w:tc>
        <w:tc>
          <w:tcPr>
            <w:tcW w:w="1308" w:type="dxa"/>
            <w:tcBorders>
              <w:top w:val="nil"/>
              <w:left w:val="nil"/>
              <w:bottom w:val="single" w:sz="8" w:space="0" w:color="auto"/>
              <w:right w:val="single" w:sz="4" w:space="0" w:color="auto"/>
            </w:tcBorders>
            <w:shd w:val="clear" w:color="auto" w:fill="auto"/>
            <w:noWrap/>
            <w:vAlign w:val="center"/>
            <w:hideMark/>
          </w:tcPr>
          <w:p w14:paraId="0335DDE6" w14:textId="7A74AE5C"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sz w:val="20"/>
                <w:szCs w:val="20"/>
              </w:rPr>
              <w:t>143 322 821</w:t>
            </w:r>
          </w:p>
        </w:tc>
        <w:tc>
          <w:tcPr>
            <w:tcW w:w="1298" w:type="dxa"/>
            <w:tcBorders>
              <w:top w:val="nil"/>
              <w:left w:val="nil"/>
              <w:bottom w:val="single" w:sz="8" w:space="0" w:color="auto"/>
              <w:right w:val="single" w:sz="4" w:space="0" w:color="auto"/>
            </w:tcBorders>
            <w:shd w:val="clear" w:color="auto" w:fill="auto"/>
            <w:noWrap/>
            <w:vAlign w:val="center"/>
            <w:hideMark/>
          </w:tcPr>
          <w:p w14:paraId="279EAD3D" w14:textId="08A8FBCF" w:rsidR="00B710A6" w:rsidRPr="00B710A6" w:rsidRDefault="00B710A6" w:rsidP="00B710A6">
            <w:pPr>
              <w:spacing w:after="0" w:line="240" w:lineRule="auto"/>
              <w:jc w:val="right"/>
              <w:rPr>
                <w:rFonts w:ascii="Times New Roman" w:eastAsia="Times New Roman" w:hAnsi="Times New Roman" w:cs="Times New Roman"/>
                <w:b/>
                <w:bCs/>
                <w:kern w:val="0"/>
                <w:sz w:val="20"/>
                <w:szCs w:val="20"/>
                <w:lang w:eastAsia="sk-SK"/>
                <w14:ligatures w14:val="none"/>
              </w:rPr>
            </w:pPr>
            <w:r w:rsidRPr="00B710A6">
              <w:rPr>
                <w:rFonts w:ascii="Times New Roman" w:hAnsi="Times New Roman" w:cs="Times New Roman"/>
                <w:b/>
                <w:bCs/>
                <w:sz w:val="20"/>
                <w:szCs w:val="20"/>
              </w:rPr>
              <w:t>-6,17%</w:t>
            </w:r>
          </w:p>
        </w:tc>
        <w:tc>
          <w:tcPr>
            <w:tcW w:w="1190" w:type="dxa"/>
            <w:tcBorders>
              <w:top w:val="nil"/>
              <w:left w:val="nil"/>
              <w:bottom w:val="single" w:sz="8" w:space="0" w:color="auto"/>
              <w:right w:val="single" w:sz="8" w:space="0" w:color="auto"/>
            </w:tcBorders>
            <w:shd w:val="clear" w:color="auto" w:fill="auto"/>
            <w:noWrap/>
            <w:vAlign w:val="center"/>
            <w:hideMark/>
          </w:tcPr>
          <w:p w14:paraId="0D68C219" w14:textId="49D34F57" w:rsidR="00B710A6" w:rsidRPr="00B710A6" w:rsidRDefault="00B710A6" w:rsidP="00B710A6">
            <w:pPr>
              <w:spacing w:after="0" w:line="240" w:lineRule="auto"/>
              <w:jc w:val="right"/>
              <w:rPr>
                <w:rFonts w:ascii="Times New Roman" w:eastAsia="Times New Roman" w:hAnsi="Times New Roman" w:cs="Times New Roman"/>
                <w:kern w:val="0"/>
                <w:sz w:val="20"/>
                <w:szCs w:val="20"/>
                <w:lang w:eastAsia="sk-SK"/>
                <w14:ligatures w14:val="none"/>
              </w:rPr>
            </w:pPr>
            <w:r w:rsidRPr="00B710A6">
              <w:rPr>
                <w:rFonts w:ascii="Times New Roman" w:hAnsi="Times New Roman" w:cs="Times New Roman"/>
                <w:b/>
                <w:bCs/>
                <w:sz w:val="20"/>
                <w:szCs w:val="20"/>
              </w:rPr>
              <w:t>-9 419 758</w:t>
            </w:r>
          </w:p>
        </w:tc>
      </w:tr>
    </w:tbl>
    <w:p w14:paraId="15C3A190" w14:textId="77777777" w:rsidR="002043E6" w:rsidRPr="00EB6D39" w:rsidRDefault="002043E6" w:rsidP="005A3C8B">
      <w:pPr>
        <w:spacing w:after="0" w:line="240" w:lineRule="auto"/>
        <w:jc w:val="both"/>
        <w:rPr>
          <w:rFonts w:ascii="Arial Narrow" w:eastAsia="Times New Roman" w:hAnsi="Arial Narrow" w:cs="Times New Roman"/>
          <w:kern w:val="0"/>
          <w:lang w:eastAsia="sk-SK"/>
          <w14:ligatures w14:val="none"/>
        </w:rPr>
        <w:sectPr w:rsidR="002043E6" w:rsidRPr="00EB6D39" w:rsidSect="0043689D">
          <w:pgSz w:w="16838" w:h="11906" w:orient="landscape"/>
          <w:pgMar w:top="1417" w:right="1417" w:bottom="1417" w:left="1417" w:header="708" w:footer="708" w:gutter="0"/>
          <w:cols w:space="708"/>
          <w:docGrid w:linePitch="360"/>
        </w:sectPr>
      </w:pPr>
    </w:p>
    <w:p w14:paraId="618A516A" w14:textId="5BBB27E0" w:rsidR="00705C82" w:rsidRPr="00EB6D39" w:rsidRDefault="00705C82" w:rsidP="0043689D">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EB6D39">
        <w:rPr>
          <w:rFonts w:ascii="Times New Roman" w:eastAsia="Times New Roman" w:hAnsi="Times New Roman" w:cs="Times New Roman"/>
          <w:kern w:val="0"/>
          <w:sz w:val="24"/>
          <w:szCs w:val="24"/>
          <w:lang w:eastAsia="sk-SK"/>
          <w14:ligatures w14:val="none"/>
        </w:rPr>
        <w:lastRenderedPageBreak/>
        <w:t xml:space="preserve">Všetky čísla navrhované v návrhu vyhlášky boli prehodnotené, báza roku 2024 sa prebrala podľa zdravotných poisťovní na základe časového zohľadnenia nákladov, </w:t>
      </w:r>
      <w:r w:rsidR="00B710A6" w:rsidRPr="00EB6D39">
        <w:rPr>
          <w:rFonts w:ascii="Times New Roman" w:eastAsia="Times New Roman" w:hAnsi="Times New Roman" w:cs="Times New Roman"/>
          <w:kern w:val="0"/>
          <w:sz w:val="24"/>
          <w:szCs w:val="24"/>
          <w:lang w:eastAsia="sk-SK"/>
          <w14:ligatures w14:val="none"/>
        </w:rPr>
        <w:t>jednorazových</w:t>
      </w:r>
      <w:r w:rsidRPr="00EB6D39">
        <w:rPr>
          <w:rFonts w:ascii="Times New Roman" w:eastAsia="Times New Roman" w:hAnsi="Times New Roman" w:cs="Times New Roman"/>
          <w:kern w:val="0"/>
          <w:sz w:val="24"/>
          <w:szCs w:val="24"/>
          <w:lang w:eastAsia="sk-SK"/>
          <w14:ligatures w14:val="none"/>
        </w:rPr>
        <w:t xml:space="preserve"> operácií z roku 2024</w:t>
      </w:r>
      <w:r w:rsidR="008325C9" w:rsidRPr="00EB6D39">
        <w:rPr>
          <w:rFonts w:ascii="Times New Roman" w:eastAsia="Times New Roman" w:hAnsi="Times New Roman" w:cs="Times New Roman"/>
          <w:kern w:val="0"/>
          <w:sz w:val="24"/>
          <w:szCs w:val="24"/>
          <w:lang w:eastAsia="sk-SK"/>
          <w14:ligatures w14:val="none"/>
        </w:rPr>
        <w:t xml:space="preserve"> (napríklad výdavky na </w:t>
      </w:r>
      <w:proofErr w:type="spellStart"/>
      <w:r w:rsidR="008325C9" w:rsidRPr="00EB6D39">
        <w:rPr>
          <w:rFonts w:ascii="Times New Roman" w:eastAsia="Times New Roman" w:hAnsi="Times New Roman" w:cs="Times New Roman"/>
          <w:kern w:val="0"/>
          <w:sz w:val="24"/>
          <w:szCs w:val="24"/>
          <w:lang w:eastAsia="sk-SK"/>
          <w14:ligatures w14:val="none"/>
        </w:rPr>
        <w:t>Covid</w:t>
      </w:r>
      <w:proofErr w:type="spellEnd"/>
      <w:r w:rsidR="008325C9" w:rsidRPr="00EB6D39">
        <w:rPr>
          <w:rFonts w:ascii="Times New Roman" w:eastAsia="Times New Roman" w:hAnsi="Times New Roman" w:cs="Times New Roman"/>
          <w:kern w:val="0"/>
          <w:sz w:val="24"/>
          <w:szCs w:val="24"/>
          <w:lang w:eastAsia="sk-SK"/>
          <w14:ligatures w14:val="none"/>
        </w:rPr>
        <w:t xml:space="preserve"> a zmena očakávaných výdavkov na benefity pre poistencov)</w:t>
      </w:r>
      <w:r w:rsidRPr="00EB6D39">
        <w:rPr>
          <w:rFonts w:ascii="Times New Roman" w:eastAsia="Times New Roman" w:hAnsi="Times New Roman" w:cs="Times New Roman"/>
          <w:kern w:val="0"/>
          <w:sz w:val="24"/>
          <w:szCs w:val="24"/>
          <w:lang w:eastAsia="sk-SK"/>
          <w14:ligatures w14:val="none"/>
        </w:rPr>
        <w:t>, prehodnotili sa zmeny politík ako aj zreálnili úsporné opatrenia. Návrh vyhlášky ustanovuje minimálne alokácie pre jednotlivé typy zdravotnej starostlivosti, ktoré boli stanovené podľa postupu uvedeného v návrhu vyhlášky zo sumy, ktorá už bola schválená v rozpočte a určená ako limit výdavkov na zdravotnú starostlivosť pre rok 2025. Stanovené minimálne alokácie je potrebné chápať v kontexte mimoriadneho konsolidačného úsilia a ozdravného procesu v celom spektre výdavkov rozpočtu verejnej správy. Jednotlivé alokácie zohľadňujú maximálne možnosti</w:t>
      </w:r>
      <w:r w:rsidR="008325C9" w:rsidRPr="00EB6D39">
        <w:rPr>
          <w:rFonts w:ascii="Times New Roman" w:eastAsia="Times New Roman" w:hAnsi="Times New Roman" w:cs="Times New Roman"/>
          <w:kern w:val="0"/>
          <w:sz w:val="24"/>
          <w:szCs w:val="24"/>
          <w:lang w:eastAsia="sk-SK"/>
          <w14:ligatures w14:val="none"/>
        </w:rPr>
        <w:t xml:space="preserve"> súčasného</w:t>
      </w:r>
      <w:r w:rsidRPr="00EB6D39">
        <w:rPr>
          <w:rFonts w:ascii="Times New Roman" w:eastAsia="Times New Roman" w:hAnsi="Times New Roman" w:cs="Times New Roman"/>
          <w:kern w:val="0"/>
          <w:sz w:val="24"/>
          <w:szCs w:val="24"/>
          <w:lang w:eastAsia="sk-SK"/>
          <w14:ligatures w14:val="none"/>
        </w:rPr>
        <w:t xml:space="preserve"> limitu výdavkov na verejné zdravotné poistenie tak, aby </w:t>
      </w:r>
      <w:r w:rsidR="008325C9" w:rsidRPr="00EB6D39">
        <w:rPr>
          <w:rFonts w:ascii="Times New Roman" w:eastAsia="Times New Roman" w:hAnsi="Times New Roman" w:cs="Times New Roman"/>
          <w:kern w:val="0"/>
          <w:sz w:val="24"/>
          <w:szCs w:val="24"/>
          <w:lang w:eastAsia="sk-SK"/>
          <w14:ligatures w14:val="none"/>
        </w:rPr>
        <w:t>boli</w:t>
      </w:r>
      <w:r w:rsidRPr="00EB6D39">
        <w:rPr>
          <w:rFonts w:ascii="Times New Roman" w:eastAsia="Times New Roman" w:hAnsi="Times New Roman" w:cs="Times New Roman"/>
          <w:kern w:val="0"/>
          <w:sz w:val="24"/>
          <w:szCs w:val="24"/>
          <w:lang w:eastAsia="sk-SK"/>
          <w14:ligatures w14:val="none"/>
        </w:rPr>
        <w:t xml:space="preserve"> zabezpečené aspoň minimálne finančné požiadavky jednotlivých typov zdravotnej starostlivosti. S ohľadom na uvedené, Ministerstvo zdravotníctva SR zaháji v tomto roku intenzívnu diskusiu o oprávnených nákladoch vo všetkých typoch zdravotnej starostlivosti v súlade s § 7c zákona č. 581/2004 Z. z. </w:t>
      </w:r>
    </w:p>
    <w:p w14:paraId="1262314B" w14:textId="77777777" w:rsidR="00705C82" w:rsidRPr="00EB6D39" w:rsidRDefault="00705C82" w:rsidP="00705C82">
      <w:pPr>
        <w:spacing w:after="0" w:line="240" w:lineRule="auto"/>
        <w:jc w:val="both"/>
        <w:rPr>
          <w:rFonts w:ascii="Arial Narrow" w:eastAsia="Times New Roman" w:hAnsi="Arial Narrow" w:cs="Times New Roman"/>
          <w:kern w:val="0"/>
          <w:lang w:eastAsia="sk-SK"/>
          <w14:ligatures w14:val="none"/>
        </w:rPr>
      </w:pPr>
    </w:p>
    <w:bookmarkEnd w:id="7"/>
    <w:p w14:paraId="70658042" w14:textId="1C2FB873"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 4</w:t>
      </w:r>
    </w:p>
    <w:p w14:paraId="00F65A4B" w14:textId="77777777" w:rsidR="00965B9D" w:rsidRPr="00EB6D39" w:rsidRDefault="00965B9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Ustanovuje sa spôsob, rozsah a termíny predkladania oznámenia o výdavkoch podľa typov zdravotnej starostlivosti zdravotnou poisťovňou, v prílohe sú definované vzory výkazov.</w:t>
      </w:r>
    </w:p>
    <w:p w14:paraId="05F29B88" w14:textId="77777777" w:rsidR="00965B9D" w:rsidRPr="00EB6D39" w:rsidRDefault="00965B9D" w:rsidP="002E5CA3">
      <w:pPr>
        <w:spacing w:after="0" w:line="240" w:lineRule="auto"/>
        <w:jc w:val="both"/>
        <w:rPr>
          <w:rFonts w:ascii="Times New Roman" w:hAnsi="Times New Roman" w:cs="Times New Roman"/>
          <w:sz w:val="24"/>
          <w:szCs w:val="24"/>
        </w:rPr>
      </w:pPr>
    </w:p>
    <w:p w14:paraId="4745714C" w14:textId="77777777"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 5</w:t>
      </w:r>
    </w:p>
    <w:p w14:paraId="4E183B1F" w14:textId="5A68F79E" w:rsidR="00965B9D" w:rsidRPr="00EB6D39" w:rsidRDefault="00965B9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 xml:space="preserve">Pôvodne boli definované jednotlivé typy a ich podrobná štruktúra vo vyhláške Ministerstva zdravotníctva slovenskej republiky č. 10/2022 Z. z., ktorou sa ustanovuje spôsob, rozsah, termíny predkladania ďalších údajov, štruktúra výdavkov na jednotlivé typy zdravotnej starostlivosti a spôsob určenia percentuálnych podielov pre typy zdravotnej starostlivosti pre jednotlivé zdravotné poisťovne. Avšak v priebehu času bola prijatá vyhláška Ministerstva zdravotníctva Slovenskej č. 522/2023 Z. z. o predkladaní údajov z účtovníctva, štatistickej evidencie a ďalších údajov zdravotnou poisťovňou, kde v prílohe č. 8 boli podrobne definované jednotlivé typy zdravotnej starostlivosti detailnejšie a presnejšie ako vo vyhláške </w:t>
      </w:r>
      <w:r w:rsidR="00B9570B" w:rsidRPr="00EB6D39">
        <w:rPr>
          <w:rFonts w:ascii="Times New Roman" w:hAnsi="Times New Roman" w:cs="Times New Roman"/>
          <w:sz w:val="24"/>
          <w:szCs w:val="24"/>
        </w:rPr>
        <w:t xml:space="preserve">                                       </w:t>
      </w:r>
      <w:r w:rsidRPr="00EB6D39">
        <w:rPr>
          <w:rFonts w:ascii="Times New Roman" w:hAnsi="Times New Roman" w:cs="Times New Roman"/>
          <w:sz w:val="24"/>
          <w:szCs w:val="24"/>
        </w:rPr>
        <w:t xml:space="preserve">č. 10/2022 Z. z. V záujme zjednotenia týchto pohľadov sa ponecháva štruktúra vo vyhláške </w:t>
      </w:r>
      <w:r w:rsidR="00B9570B" w:rsidRPr="00EB6D39">
        <w:rPr>
          <w:rFonts w:ascii="Times New Roman" w:hAnsi="Times New Roman" w:cs="Times New Roman"/>
          <w:sz w:val="24"/>
          <w:szCs w:val="24"/>
        </w:rPr>
        <w:t xml:space="preserve">                </w:t>
      </w:r>
      <w:r w:rsidRPr="00EB6D39">
        <w:rPr>
          <w:rFonts w:ascii="Times New Roman" w:hAnsi="Times New Roman" w:cs="Times New Roman"/>
          <w:sz w:val="24"/>
          <w:szCs w:val="24"/>
        </w:rPr>
        <w:t>č. 522/2023 Z. z. a navrhuje sa zrušiť vyhláška  č. 10/2022 Z. z.</w:t>
      </w:r>
    </w:p>
    <w:p w14:paraId="12A0EBEE" w14:textId="77777777" w:rsidR="00965B9D" w:rsidRPr="00EB6D39" w:rsidRDefault="00965B9D" w:rsidP="002E5CA3">
      <w:pPr>
        <w:spacing w:after="0" w:line="240" w:lineRule="auto"/>
        <w:jc w:val="both"/>
        <w:rPr>
          <w:rFonts w:ascii="Times New Roman" w:hAnsi="Times New Roman" w:cs="Times New Roman"/>
          <w:sz w:val="24"/>
          <w:szCs w:val="24"/>
        </w:rPr>
      </w:pPr>
    </w:p>
    <w:p w14:paraId="4287D0DE" w14:textId="77777777" w:rsidR="00965B9D" w:rsidRPr="00EB6D39" w:rsidRDefault="00965B9D" w:rsidP="002E5CA3">
      <w:pPr>
        <w:spacing w:after="0" w:line="240" w:lineRule="auto"/>
        <w:jc w:val="both"/>
        <w:rPr>
          <w:rFonts w:ascii="Times New Roman" w:hAnsi="Times New Roman" w:cs="Times New Roman"/>
          <w:b/>
          <w:bCs/>
          <w:sz w:val="24"/>
          <w:szCs w:val="24"/>
        </w:rPr>
      </w:pPr>
      <w:r w:rsidRPr="00EB6D39">
        <w:rPr>
          <w:rFonts w:ascii="Times New Roman" w:hAnsi="Times New Roman" w:cs="Times New Roman"/>
          <w:b/>
          <w:bCs/>
          <w:sz w:val="24"/>
          <w:szCs w:val="24"/>
        </w:rPr>
        <w:t>K § 6</w:t>
      </w:r>
    </w:p>
    <w:p w14:paraId="6F64B275" w14:textId="77777777" w:rsidR="00965B9D" w:rsidRPr="00EB6D39" w:rsidRDefault="00965B9D" w:rsidP="0043689D">
      <w:pPr>
        <w:spacing w:after="0" w:line="240" w:lineRule="auto"/>
        <w:ind w:firstLine="708"/>
        <w:jc w:val="both"/>
        <w:rPr>
          <w:rFonts w:ascii="Times New Roman" w:hAnsi="Times New Roman" w:cs="Times New Roman"/>
          <w:sz w:val="24"/>
          <w:szCs w:val="24"/>
        </w:rPr>
      </w:pPr>
      <w:r w:rsidRPr="00EB6D39">
        <w:rPr>
          <w:rFonts w:ascii="Times New Roman" w:hAnsi="Times New Roman" w:cs="Times New Roman"/>
          <w:sz w:val="24"/>
          <w:szCs w:val="24"/>
        </w:rPr>
        <w:t>Navrhuje sa účinnosť vyhlášky v čo najkratšom možnom čase, z dôvodu, že včasným nevydaním tejto vyhlášky hrozí najmä ohrozenie ľudských práv a základných slobôd – ohrozené poskytovanie zdravotnej starostlivosti, ak poskytovatelia zdravotnej starostlivosti neuzatvoria zmluvy o úhrade zdravotnej starostlivosti so zdravotnými poisťovňami, je to aj prevencia vzniku mimoriadnej situácie z dôvodu možného obnovenia výpovedí lekármi.</w:t>
      </w:r>
    </w:p>
    <w:p w14:paraId="051F1C3B" w14:textId="77777777" w:rsidR="00965B9D" w:rsidRPr="00EB6D39" w:rsidRDefault="00965B9D" w:rsidP="002E5CA3">
      <w:pPr>
        <w:spacing w:after="0" w:line="240" w:lineRule="auto"/>
        <w:jc w:val="both"/>
        <w:rPr>
          <w:rFonts w:ascii="Times New Roman" w:hAnsi="Times New Roman" w:cs="Times New Roman"/>
          <w:sz w:val="24"/>
          <w:szCs w:val="24"/>
        </w:rPr>
      </w:pPr>
    </w:p>
    <w:p w14:paraId="52426872" w14:textId="78FAA01E" w:rsidR="00A21ECF" w:rsidRPr="00EB6D39" w:rsidRDefault="00A21ECF" w:rsidP="00A21ECF">
      <w:pPr>
        <w:spacing w:after="0" w:line="240" w:lineRule="auto"/>
        <w:jc w:val="both"/>
        <w:rPr>
          <w:rFonts w:ascii="Times New Roman" w:hAnsi="Times New Roman"/>
          <w:bCs/>
          <w:sz w:val="24"/>
          <w:szCs w:val="24"/>
          <w:lang w:eastAsia="sk-SK"/>
        </w:rPr>
      </w:pPr>
      <w:r w:rsidRPr="00EB6D39">
        <w:rPr>
          <w:rFonts w:ascii="Times New Roman" w:hAnsi="Times New Roman" w:cs="Times New Roman"/>
          <w:b/>
          <w:bCs/>
          <w:sz w:val="24"/>
          <w:szCs w:val="24"/>
        </w:rPr>
        <w:t>P</w:t>
      </w:r>
      <w:r w:rsidR="00965B9D" w:rsidRPr="00EB6D39">
        <w:rPr>
          <w:rFonts w:ascii="Times New Roman" w:hAnsi="Times New Roman" w:cs="Times New Roman"/>
          <w:b/>
          <w:bCs/>
          <w:sz w:val="24"/>
          <w:szCs w:val="24"/>
        </w:rPr>
        <w:t>ríloh</w:t>
      </w:r>
      <w:r w:rsidRPr="00EB6D39">
        <w:rPr>
          <w:rFonts w:ascii="Times New Roman" w:hAnsi="Times New Roman" w:cs="Times New Roman"/>
          <w:b/>
          <w:bCs/>
          <w:sz w:val="24"/>
          <w:szCs w:val="24"/>
        </w:rPr>
        <w:t>a</w:t>
      </w:r>
      <w:r w:rsidR="00965B9D" w:rsidRPr="00EB6D39">
        <w:rPr>
          <w:rFonts w:ascii="Times New Roman" w:hAnsi="Times New Roman" w:cs="Times New Roman"/>
          <w:b/>
          <w:bCs/>
          <w:sz w:val="24"/>
          <w:szCs w:val="24"/>
        </w:rPr>
        <w:t xml:space="preserve"> č. 1</w:t>
      </w:r>
      <w:r w:rsidRPr="00EB6D39">
        <w:rPr>
          <w:rFonts w:ascii="Times New Roman" w:hAnsi="Times New Roman" w:cs="Times New Roman"/>
          <w:b/>
          <w:bCs/>
          <w:sz w:val="24"/>
          <w:szCs w:val="24"/>
        </w:rPr>
        <w:t xml:space="preserve"> ustanovuje v </w:t>
      </w:r>
      <w:r w:rsidRPr="00EB6D39">
        <w:rPr>
          <w:rFonts w:ascii="Times New Roman" w:hAnsi="Times New Roman"/>
          <w:bCs/>
          <w:sz w:val="24"/>
          <w:szCs w:val="24"/>
          <w:lang w:eastAsia="sk-SK"/>
        </w:rPr>
        <w:t>Tabuľke č. 1 Minimáln</w:t>
      </w:r>
      <w:r w:rsidR="008F5B91"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sum</w:t>
      </w:r>
      <w:r w:rsidR="008F5B91"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v eurách určená pre jednotlivé typy zdravotnej starostlivosti pre jednotlivé zdravotné poisťovne </w:t>
      </w:r>
      <w:r w:rsidR="008F5B91" w:rsidRPr="00EB6D39">
        <w:rPr>
          <w:rFonts w:ascii="Times New Roman" w:hAnsi="Times New Roman"/>
          <w:bCs/>
          <w:sz w:val="24"/>
          <w:szCs w:val="24"/>
          <w:lang w:eastAsia="sk-SK"/>
        </w:rPr>
        <w:t xml:space="preserve">na rok 2025. Návrh vyhlášky ustanovuje minimálne alokácie pre jednotlivé typy zdravotnej starostlivosti, ktoré boli stanovené podľa postupu uvedeného v návrhu vyhlášky zo sumy, ktorá už bola schválená v rozpočte a určená ako limit výdavkov na zdravotnú starostlivosť pre rok 2025. Stanovené minimálne alokácie je potrebné chápať v kontexte mimoriadneho konsolidačného úsilia a ozdravného procesu v celom spektre výdavkov rozpočtu verejnej správy. Jednotlivé alokácie zohľadňujú maximálne možnosti limitu výdavkov na verejné zdravotné poistenie tak, aby bolo zachované finančné zdravie poisťovní a zabezpečené aspoň minimálne finančné požiadavky jednotlivých typov zdravotnej starostlivosti. S ohľadom na uvedené, Ministerstvo zdravotníctva SR zaháji v tomto roku intenzívnu diskusiu o oprávnených nákladoch vo všetkých typoch zdravotnej starostlivosti v súlade s § 7c zákona č. 581/2004 Z. z. Všetky čísla navrhované v </w:t>
      </w:r>
      <w:r w:rsidR="008F5B91" w:rsidRPr="00EB6D39">
        <w:rPr>
          <w:rFonts w:ascii="Times New Roman" w:hAnsi="Times New Roman"/>
          <w:bCs/>
          <w:sz w:val="24"/>
          <w:szCs w:val="24"/>
          <w:lang w:eastAsia="sk-SK"/>
        </w:rPr>
        <w:lastRenderedPageBreak/>
        <w:t>návrhu vyhlášky boli prehodnotené, báza roku 2024 sa prebrala podľa zdravotných poisťovní na základe časové</w:t>
      </w:r>
      <w:r w:rsidR="007F311B">
        <w:rPr>
          <w:rFonts w:ascii="Times New Roman" w:hAnsi="Times New Roman"/>
          <w:bCs/>
          <w:sz w:val="24"/>
          <w:szCs w:val="24"/>
          <w:lang w:eastAsia="sk-SK"/>
        </w:rPr>
        <w:t>ho zohľadnenia nákladov, jednora</w:t>
      </w:r>
      <w:bookmarkStart w:id="8" w:name="_GoBack"/>
      <w:bookmarkEnd w:id="8"/>
      <w:r w:rsidR="008F5B91" w:rsidRPr="00EB6D39">
        <w:rPr>
          <w:rFonts w:ascii="Times New Roman" w:hAnsi="Times New Roman"/>
          <w:bCs/>
          <w:sz w:val="24"/>
          <w:szCs w:val="24"/>
          <w:lang w:eastAsia="sk-SK"/>
        </w:rPr>
        <w:t>zových operácií z roku 2024, prehodnotili sa zmeny politík ako aj zreálnili úsporné opatrenia. Minimálne alokácie sa nastavili tak, aby bolo možné zachovať aspoň minimálnu mieru nárastov v sektore pre zachovanie sociálneho zmieru.</w:t>
      </w:r>
    </w:p>
    <w:p w14:paraId="0696A112" w14:textId="77777777" w:rsidR="005F033A" w:rsidRPr="00EB6D39" w:rsidRDefault="005F033A" w:rsidP="00A21ECF">
      <w:pPr>
        <w:spacing w:after="0" w:line="240" w:lineRule="auto"/>
        <w:jc w:val="both"/>
        <w:rPr>
          <w:rFonts w:ascii="Times New Roman" w:hAnsi="Times New Roman"/>
          <w:bCs/>
          <w:sz w:val="24"/>
          <w:szCs w:val="24"/>
          <w:lang w:eastAsia="sk-SK"/>
        </w:rPr>
      </w:pPr>
    </w:p>
    <w:p w14:paraId="3331DFD8" w14:textId="77777777" w:rsidR="00A21ECF" w:rsidRPr="00EB6D39" w:rsidRDefault="00A21ECF" w:rsidP="00A21ECF">
      <w:pPr>
        <w:pStyle w:val="p1"/>
        <w:ind w:firstLine="708"/>
        <w:jc w:val="both"/>
        <w:rPr>
          <w:rFonts w:ascii="Times New Roman" w:hAnsi="Times New Roman"/>
          <w:color w:val="auto"/>
          <w:sz w:val="24"/>
          <w:szCs w:val="24"/>
        </w:rPr>
      </w:pPr>
      <w:r w:rsidRPr="00EB6D39">
        <w:rPr>
          <w:rFonts w:ascii="Times New Roman" w:hAnsi="Times New Roman"/>
          <w:color w:val="auto"/>
          <w:sz w:val="24"/>
          <w:szCs w:val="24"/>
        </w:rPr>
        <w:t>Percento medziročného nárastu výdavkov zdravotných poisťovní neznamená automaticky aj rovnaké percento navýšenia jednotkových cien poskytovateľom zdravotnej starostlivosti. Do nárastu výdavkov vstupuje aj nárast frekvencie výkonov z titulu starnutia populácie a časť stupňujúce sa využívanie pokročilejších a teda finančne náročnejších vyšetrovacích a liečebných metód (tzv. medicínska inflácia). Signifikantný vplyv na medziročný nárast výdavkov zdravotných poisťovní má však aj tzv. dobeh zmluvných podmienok uzatvorených medzi poskytovateľom zdravotnej starostlivosti a zdravotnou poisťovňou v priebehu predchádzajúceho účtovného (kalendárneho) roka. Za istých okolností môže nastať situácia, že ak poisťovňa v priebehu predchádzajúceho roka (teda nie hneď od 1.1. minulého roka) zvýšila jednotkové ceny poskytovateľom určitej vecnej oblasti (segmentu) výraznejšie ako predpokladá rozpočet nasledujúceho roka a zmluva v nezmenenej podobe pretrváva aj v roku nasledujúcom, ďalšie navýšenie jednotkových zmluvných cien nemôže poskytovateľ očakávať vo výške percent uvedených v rozpočte. Aby zmluvné podmienky medzi zdravotnými poisťovňami a poskytovateľmi kopírovali podmienky schváleného rozpočtu, môže nastať situácia, že zdravotná poisťovňa ponúkne nižšie navýšenie, resp. neponúkne žiadne navýšenie, alebo dokonca bude nútená sa s poskytovateľmi dohodnúť na znížení jednotkových úhrad tak, aby bol schválený rozpočet dodržaný.</w:t>
      </w:r>
    </w:p>
    <w:p w14:paraId="318E17C0" w14:textId="77777777" w:rsidR="00A21ECF" w:rsidRPr="00EB6D39" w:rsidRDefault="00A21ECF" w:rsidP="00A21ECF">
      <w:pPr>
        <w:spacing w:after="0" w:line="240" w:lineRule="auto"/>
        <w:jc w:val="both"/>
        <w:rPr>
          <w:rFonts w:ascii="Times New Roman" w:hAnsi="Times New Roman"/>
          <w:bCs/>
          <w:sz w:val="24"/>
          <w:szCs w:val="24"/>
          <w:lang w:eastAsia="sk-SK"/>
        </w:rPr>
      </w:pPr>
    </w:p>
    <w:p w14:paraId="559BA2B2" w14:textId="68206A10" w:rsidR="00A21ECF" w:rsidRPr="00EB6D39" w:rsidRDefault="00A21ECF" w:rsidP="00A21ECF">
      <w:pPr>
        <w:spacing w:after="0" w:line="240" w:lineRule="auto"/>
        <w:jc w:val="both"/>
        <w:rPr>
          <w:rFonts w:ascii="Times New Roman" w:hAnsi="Times New Roman"/>
          <w:bCs/>
          <w:sz w:val="24"/>
          <w:szCs w:val="24"/>
        </w:rPr>
      </w:pPr>
      <w:r w:rsidRPr="00EB6D39">
        <w:rPr>
          <w:rFonts w:ascii="Times New Roman" w:hAnsi="Times New Roman"/>
          <w:bCs/>
          <w:sz w:val="24"/>
          <w:szCs w:val="24"/>
          <w:lang w:eastAsia="sk-SK"/>
        </w:rPr>
        <w:t>Tabuľka č. 2</w:t>
      </w:r>
      <w:r w:rsidR="008F5B91" w:rsidRPr="00EB6D39">
        <w:rPr>
          <w:rFonts w:ascii="Times New Roman" w:hAnsi="Times New Roman"/>
          <w:bCs/>
          <w:sz w:val="24"/>
          <w:szCs w:val="24"/>
          <w:lang w:eastAsia="sk-SK"/>
        </w:rPr>
        <w:t xml:space="preserve"> ustanovuje c</w:t>
      </w:r>
      <w:r w:rsidRPr="00EB6D39">
        <w:rPr>
          <w:rFonts w:ascii="Times New Roman" w:hAnsi="Times New Roman"/>
          <w:bCs/>
          <w:sz w:val="24"/>
          <w:szCs w:val="24"/>
          <w:lang w:eastAsia="sk-SK"/>
        </w:rPr>
        <w:t>elkov</w:t>
      </w:r>
      <w:r w:rsidR="008F5B91" w:rsidRPr="00EB6D39">
        <w:rPr>
          <w:rFonts w:ascii="Times New Roman" w:hAnsi="Times New Roman"/>
          <w:bCs/>
          <w:sz w:val="24"/>
          <w:szCs w:val="24"/>
          <w:lang w:eastAsia="sk-SK"/>
        </w:rPr>
        <w:t>ú</w:t>
      </w:r>
      <w:r w:rsidRPr="00EB6D39">
        <w:rPr>
          <w:rFonts w:ascii="Times New Roman" w:hAnsi="Times New Roman"/>
          <w:bCs/>
          <w:sz w:val="24"/>
          <w:szCs w:val="24"/>
          <w:lang w:eastAsia="sk-SK"/>
        </w:rPr>
        <w:t xml:space="preserve"> sum</w:t>
      </w:r>
      <w:r w:rsidR="008F5B91"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w:t>
      </w:r>
      <w:r w:rsidRPr="00EB6D39">
        <w:rPr>
          <w:rFonts w:ascii="Times New Roman" w:hAnsi="Times New Roman"/>
          <w:bCs/>
          <w:sz w:val="24"/>
          <w:szCs w:val="24"/>
        </w:rPr>
        <w:t>výdavkov zdravotnej poisťovne na zdravotnú starostlivosť určených v rozpočte na rok 2025</w:t>
      </w:r>
      <w:r w:rsidR="008F5B91" w:rsidRPr="00EB6D39">
        <w:rPr>
          <w:rFonts w:ascii="Times New Roman" w:hAnsi="Times New Roman"/>
          <w:bCs/>
          <w:sz w:val="24"/>
          <w:szCs w:val="24"/>
        </w:rPr>
        <w:t>.</w:t>
      </w:r>
    </w:p>
    <w:p w14:paraId="0AF06C05" w14:textId="77777777" w:rsidR="003344B0" w:rsidRPr="00EB6D39" w:rsidRDefault="003344B0" w:rsidP="00A21ECF">
      <w:pPr>
        <w:spacing w:after="0" w:line="240" w:lineRule="auto"/>
        <w:jc w:val="both"/>
        <w:rPr>
          <w:rFonts w:ascii="Times New Roman" w:hAnsi="Times New Roman"/>
          <w:bCs/>
          <w:sz w:val="24"/>
          <w:szCs w:val="24"/>
        </w:rPr>
      </w:pPr>
    </w:p>
    <w:p w14:paraId="5495ED8F" w14:textId="11502AD1" w:rsidR="008F5B91" w:rsidRPr="00EB6D39" w:rsidRDefault="003344B0" w:rsidP="00A21ECF">
      <w:pPr>
        <w:spacing w:after="0" w:line="240" w:lineRule="auto"/>
        <w:jc w:val="both"/>
        <w:rPr>
          <w:rFonts w:ascii="Times New Roman" w:hAnsi="Times New Roman"/>
          <w:bCs/>
          <w:sz w:val="24"/>
          <w:szCs w:val="24"/>
          <w:lang w:eastAsia="sk-SK"/>
        </w:rPr>
      </w:pPr>
      <w:r w:rsidRPr="00EB6D39">
        <w:rPr>
          <w:rFonts w:ascii="Times New Roman" w:eastAsiaTheme="minorEastAsia" w:hAnsi="Times New Roman" w:cs="Times New Roman"/>
          <w:b/>
          <w:bCs/>
        </w:rPr>
        <w:t>Tabuľka 1</w:t>
      </w:r>
      <w:r w:rsidR="00642A02">
        <w:rPr>
          <w:rFonts w:ascii="Times New Roman" w:eastAsiaTheme="minorEastAsia" w:hAnsi="Times New Roman" w:cs="Times New Roman"/>
          <w:b/>
          <w:bCs/>
        </w:rPr>
        <w:t>6</w:t>
      </w:r>
      <w:r w:rsidRPr="00EB6D39">
        <w:rPr>
          <w:rFonts w:ascii="Times New Roman" w:eastAsiaTheme="minorEastAsia" w:hAnsi="Times New Roman" w:cs="Times New Roman"/>
          <w:b/>
          <w:bCs/>
        </w:rPr>
        <w:t>:</w:t>
      </w:r>
      <w:r w:rsidRPr="00EB6D39">
        <w:t xml:space="preserve"> </w:t>
      </w:r>
      <w:r w:rsidRPr="00EB6D39">
        <w:rPr>
          <w:rFonts w:ascii="Times New Roman" w:eastAsia="Times New Roman" w:hAnsi="Times New Roman" w:cs="Times New Roman"/>
          <w:b/>
          <w:bCs/>
          <w:sz w:val="24"/>
          <w:szCs w:val="24"/>
          <w:lang w:eastAsia="sk-SK"/>
        </w:rPr>
        <w:t>Celková suma výdavkov určených na zdravotnú starostlivosť</w:t>
      </w: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20"/>
        <w:gridCol w:w="1774"/>
        <w:gridCol w:w="1701"/>
        <w:gridCol w:w="1701"/>
        <w:gridCol w:w="1418"/>
      </w:tblGrid>
      <w:tr w:rsidR="00EB6D39" w:rsidRPr="00EB6D39" w14:paraId="1FC3704D" w14:textId="77777777" w:rsidTr="00EB6D39">
        <w:trPr>
          <w:trHeight w:val="776"/>
        </w:trPr>
        <w:tc>
          <w:tcPr>
            <w:tcW w:w="2620" w:type="dxa"/>
            <w:shd w:val="clear" w:color="auto" w:fill="auto"/>
            <w:vAlign w:val="center"/>
            <w:hideMark/>
          </w:tcPr>
          <w:p w14:paraId="7EFC6F98" w14:textId="77777777" w:rsidR="008F5B91" w:rsidRPr="00EB6D39" w:rsidRDefault="008F5B91" w:rsidP="008E3287">
            <w:pPr>
              <w:spacing w:after="0" w:line="240" w:lineRule="auto"/>
              <w:jc w:val="both"/>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v eurách</w:t>
            </w:r>
          </w:p>
        </w:tc>
        <w:tc>
          <w:tcPr>
            <w:tcW w:w="1774" w:type="dxa"/>
            <w:shd w:val="clear" w:color="auto" w:fill="auto"/>
            <w:vAlign w:val="center"/>
            <w:hideMark/>
          </w:tcPr>
          <w:p w14:paraId="35520704" w14:textId="77777777" w:rsidR="008F5B91" w:rsidRPr="00EB6D39" w:rsidRDefault="008F5B91"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Všeobecná zdravotná poisťovňa, a. s.</w:t>
            </w:r>
          </w:p>
        </w:tc>
        <w:tc>
          <w:tcPr>
            <w:tcW w:w="1701" w:type="dxa"/>
            <w:shd w:val="clear" w:color="auto" w:fill="auto"/>
            <w:vAlign w:val="center"/>
            <w:hideMark/>
          </w:tcPr>
          <w:p w14:paraId="26E3F467" w14:textId="77777777" w:rsidR="008F5B91" w:rsidRPr="00EB6D39" w:rsidRDefault="008F5B91"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Dôvera zdravotná poisťovňa, a. s.</w:t>
            </w:r>
          </w:p>
        </w:tc>
        <w:tc>
          <w:tcPr>
            <w:tcW w:w="1701" w:type="dxa"/>
            <w:shd w:val="clear" w:color="auto" w:fill="auto"/>
            <w:vAlign w:val="center"/>
            <w:hideMark/>
          </w:tcPr>
          <w:p w14:paraId="1223E5FE" w14:textId="77777777" w:rsidR="008F5B91" w:rsidRPr="00EB6D39" w:rsidRDefault="008F5B91" w:rsidP="008E3287">
            <w:pPr>
              <w:spacing w:after="0" w:line="240" w:lineRule="auto"/>
              <w:jc w:val="center"/>
              <w:rPr>
                <w:rFonts w:ascii="Times New Roman" w:eastAsia="Times New Roman" w:hAnsi="Times New Roman" w:cs="Times New Roman"/>
                <w:b/>
                <w:bCs/>
                <w:sz w:val="20"/>
                <w:szCs w:val="20"/>
                <w:lang w:eastAsia="sk-SK"/>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a. s.</w:t>
            </w:r>
          </w:p>
        </w:tc>
        <w:tc>
          <w:tcPr>
            <w:tcW w:w="1418" w:type="dxa"/>
            <w:shd w:val="clear" w:color="auto" w:fill="auto"/>
            <w:vAlign w:val="center"/>
            <w:hideMark/>
          </w:tcPr>
          <w:p w14:paraId="063AFB32" w14:textId="77777777" w:rsidR="008F5B91" w:rsidRPr="00EB6D39" w:rsidRDefault="008F5B91"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Spolu</w:t>
            </w:r>
          </w:p>
        </w:tc>
      </w:tr>
      <w:tr w:rsidR="00B710A6" w:rsidRPr="00EB6D39" w14:paraId="6591988A" w14:textId="77777777" w:rsidTr="00B710A6">
        <w:trPr>
          <w:trHeight w:val="502"/>
        </w:trPr>
        <w:tc>
          <w:tcPr>
            <w:tcW w:w="2620" w:type="dxa"/>
            <w:shd w:val="clear" w:color="auto" w:fill="auto"/>
            <w:vAlign w:val="center"/>
            <w:hideMark/>
          </w:tcPr>
          <w:p w14:paraId="27B80A39" w14:textId="77777777" w:rsidR="00B710A6" w:rsidRPr="00EB6D39" w:rsidRDefault="00B710A6" w:rsidP="00B710A6">
            <w:pPr>
              <w:spacing w:after="0" w:line="240" w:lineRule="auto"/>
              <w:jc w:val="both"/>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 xml:space="preserve">Celková suma výdavkov určených na zdravotnú starostlivosť </w:t>
            </w:r>
          </w:p>
        </w:tc>
        <w:tc>
          <w:tcPr>
            <w:tcW w:w="1774" w:type="dxa"/>
            <w:tcBorders>
              <w:top w:val="single" w:sz="4" w:space="0" w:color="auto"/>
              <w:left w:val="nil"/>
              <w:bottom w:val="single" w:sz="4" w:space="0" w:color="auto"/>
              <w:right w:val="single" w:sz="4" w:space="0" w:color="auto"/>
            </w:tcBorders>
            <w:shd w:val="clear" w:color="auto" w:fill="auto"/>
            <w:vAlign w:val="center"/>
            <w:hideMark/>
          </w:tcPr>
          <w:p w14:paraId="5A6CF4C9" w14:textId="28EDA96A" w:rsidR="00B710A6" w:rsidRPr="00B710A6" w:rsidRDefault="00B710A6" w:rsidP="00B710A6">
            <w:pPr>
              <w:spacing w:after="0" w:line="240" w:lineRule="auto"/>
              <w:jc w:val="center"/>
              <w:rPr>
                <w:rFonts w:ascii="Times New Roman" w:hAnsi="Times New Roman" w:cs="Times New Roman"/>
                <w:sz w:val="20"/>
                <w:szCs w:val="20"/>
              </w:rPr>
            </w:pPr>
            <w:r w:rsidRPr="00B710A6">
              <w:rPr>
                <w:rFonts w:ascii="Times New Roman" w:hAnsi="Times New Roman" w:cs="Times New Roman"/>
                <w:sz w:val="20"/>
                <w:szCs w:val="20"/>
              </w:rPr>
              <w:t>5 077 900 632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0F7B92F" w14:textId="627322D2" w:rsidR="00B710A6" w:rsidRPr="00B710A6" w:rsidRDefault="00B710A6" w:rsidP="00B710A6">
            <w:pPr>
              <w:spacing w:after="0" w:line="240" w:lineRule="auto"/>
              <w:jc w:val="center"/>
              <w:rPr>
                <w:rFonts w:ascii="Times New Roman" w:hAnsi="Times New Roman" w:cs="Times New Roman"/>
                <w:sz w:val="20"/>
                <w:szCs w:val="20"/>
              </w:rPr>
            </w:pPr>
            <w:r w:rsidRPr="00B710A6">
              <w:rPr>
                <w:rFonts w:ascii="Times New Roman" w:hAnsi="Times New Roman" w:cs="Times New Roman"/>
                <w:sz w:val="20"/>
                <w:szCs w:val="20"/>
              </w:rPr>
              <w:t>2 450 484 792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A8804B5" w14:textId="3AC5A96B" w:rsidR="00B710A6" w:rsidRPr="00B710A6" w:rsidRDefault="00B710A6" w:rsidP="00B710A6">
            <w:pPr>
              <w:spacing w:after="0" w:line="240" w:lineRule="auto"/>
              <w:jc w:val="center"/>
              <w:rPr>
                <w:rFonts w:ascii="Times New Roman" w:hAnsi="Times New Roman" w:cs="Times New Roman"/>
                <w:sz w:val="20"/>
                <w:szCs w:val="20"/>
              </w:rPr>
            </w:pPr>
            <w:r w:rsidRPr="00B710A6">
              <w:rPr>
                <w:rFonts w:ascii="Times New Roman" w:hAnsi="Times New Roman" w:cs="Times New Roman"/>
                <w:sz w:val="20"/>
                <w:szCs w:val="20"/>
              </w:rPr>
              <w:t>775 444 449</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F297C48" w14:textId="77777777" w:rsidR="00B710A6" w:rsidRPr="00EB6D39" w:rsidRDefault="00B710A6" w:rsidP="00B710A6">
            <w:pPr>
              <w:spacing w:after="0" w:line="240" w:lineRule="auto"/>
              <w:jc w:val="center"/>
              <w:rPr>
                <w:rFonts w:ascii="Times New Roman" w:hAnsi="Times New Roman" w:cs="Times New Roman"/>
                <w:sz w:val="20"/>
                <w:szCs w:val="20"/>
              </w:rPr>
            </w:pPr>
            <w:r w:rsidRPr="00EB6D39">
              <w:rPr>
                <w:rFonts w:ascii="Times New Roman" w:hAnsi="Times New Roman" w:cs="Times New Roman"/>
                <w:b/>
                <w:bCs/>
                <w:sz w:val="20"/>
                <w:szCs w:val="20"/>
              </w:rPr>
              <w:t>8 303 829 873</w:t>
            </w:r>
          </w:p>
        </w:tc>
      </w:tr>
    </w:tbl>
    <w:p w14:paraId="4A09F3B2" w14:textId="77777777" w:rsidR="00A21ECF" w:rsidRPr="00EB6D39" w:rsidRDefault="00A21ECF" w:rsidP="00A21ECF">
      <w:pPr>
        <w:pStyle w:val="Odsekzoznamu"/>
        <w:ind w:left="-709"/>
        <w:jc w:val="both"/>
        <w:rPr>
          <w:bCs/>
          <w:lang w:eastAsia="sk-SK"/>
        </w:rPr>
      </w:pPr>
    </w:p>
    <w:p w14:paraId="56EA0C8A" w14:textId="26BD1B7C" w:rsidR="008F5B91" w:rsidRPr="00EB6D39" w:rsidRDefault="008F5B91" w:rsidP="00EB6D39">
      <w:pPr>
        <w:pStyle w:val="Odsekzoznamu"/>
        <w:ind w:left="0" w:firstLine="708"/>
        <w:jc w:val="both"/>
        <w:rPr>
          <w:rFonts w:ascii="Times New Roman" w:hAnsi="Times New Roman" w:cs="Times New Roman"/>
          <w:bCs/>
          <w:sz w:val="24"/>
          <w:szCs w:val="24"/>
          <w:lang w:eastAsia="sk-SK"/>
        </w:rPr>
      </w:pPr>
      <w:r w:rsidRPr="00EB6D39">
        <w:rPr>
          <w:rFonts w:ascii="Times New Roman" w:hAnsi="Times New Roman" w:cs="Times New Roman"/>
          <w:bCs/>
          <w:sz w:val="24"/>
          <w:szCs w:val="24"/>
          <w:lang w:eastAsia="sk-SK"/>
        </w:rPr>
        <w:t xml:space="preserve">Je to limit výdavkov na zdravotnú starostlivosť stanovený v rozpočte na rok 2025 rozdelený podľa jednotlivých zdravotných poisťovní. </w:t>
      </w:r>
      <w:r w:rsidRPr="00EB6D39">
        <w:rPr>
          <w:rFonts w:ascii="Times New Roman" w:hAnsi="Times New Roman" w:cs="Times New Roman"/>
          <w:sz w:val="24"/>
          <w:szCs w:val="24"/>
        </w:rPr>
        <w:t>Rozdiel medzi c</w:t>
      </w:r>
      <w:r w:rsidRPr="00EB6D39">
        <w:rPr>
          <w:rFonts w:ascii="Times New Roman" w:eastAsia="Times New Roman" w:hAnsi="Times New Roman" w:cs="Times New Roman"/>
          <w:sz w:val="24"/>
          <w:szCs w:val="24"/>
          <w:lang w:eastAsia="sk-SK"/>
        </w:rPr>
        <w:t>elkovou sumou výdavkov určených na zdravotnú starostlivosť a n</w:t>
      </w:r>
      <w:r w:rsidRPr="00EB6D39">
        <w:rPr>
          <w:rFonts w:ascii="Times New Roman" w:hAnsi="Times New Roman" w:cs="Times New Roman"/>
          <w:sz w:val="24"/>
          <w:szCs w:val="24"/>
        </w:rPr>
        <w:t>avrhovanými minimálnymi sumami umožňuje zabezpečiť variabilitu pre zdravotné poisťovne, ktoré môžu použiť výdavky do takých typov zdravotnej starostlivosti podľa potrieb ich poistného kmeňa.</w:t>
      </w:r>
    </w:p>
    <w:p w14:paraId="7AD6D751" w14:textId="33142F9F" w:rsidR="00A21ECF" w:rsidRPr="00EB6D39" w:rsidRDefault="00A21ECF" w:rsidP="00A21ECF">
      <w:pPr>
        <w:spacing w:after="0" w:line="240" w:lineRule="auto"/>
        <w:jc w:val="both"/>
        <w:rPr>
          <w:rFonts w:ascii="Times New Roman" w:hAnsi="Times New Roman"/>
          <w:bCs/>
          <w:sz w:val="24"/>
          <w:szCs w:val="24"/>
          <w:lang w:eastAsia="sk-SK"/>
        </w:rPr>
      </w:pPr>
      <w:r w:rsidRPr="00EB6D39">
        <w:rPr>
          <w:rFonts w:ascii="Times New Roman" w:hAnsi="Times New Roman"/>
          <w:bCs/>
          <w:sz w:val="24"/>
          <w:szCs w:val="24"/>
          <w:lang w:eastAsia="sk-SK"/>
        </w:rPr>
        <w:t>Tabuľka č. 3</w:t>
      </w:r>
      <w:r w:rsidR="00801518" w:rsidRPr="00EB6D39">
        <w:rPr>
          <w:rFonts w:ascii="Times New Roman" w:hAnsi="Times New Roman"/>
          <w:bCs/>
          <w:sz w:val="24"/>
          <w:szCs w:val="24"/>
          <w:lang w:eastAsia="sk-SK"/>
        </w:rPr>
        <w:t xml:space="preserve"> ustanovuje </w:t>
      </w:r>
      <w:bookmarkStart w:id="9" w:name="_Hlk193615687"/>
      <w:r w:rsidR="00801518" w:rsidRPr="00EB6D39">
        <w:rPr>
          <w:rFonts w:ascii="Times New Roman" w:hAnsi="Times New Roman"/>
          <w:bCs/>
          <w:sz w:val="24"/>
          <w:szCs w:val="24"/>
          <w:lang w:eastAsia="sk-SK"/>
        </w:rPr>
        <w:t>m</w:t>
      </w:r>
      <w:r w:rsidRPr="00EB6D39">
        <w:rPr>
          <w:rFonts w:ascii="Times New Roman" w:hAnsi="Times New Roman"/>
          <w:bCs/>
          <w:sz w:val="24"/>
          <w:szCs w:val="24"/>
          <w:lang w:eastAsia="sk-SK"/>
        </w:rPr>
        <w:t>aximáln</w:t>
      </w:r>
      <w:r w:rsidR="00801518"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sum</w:t>
      </w:r>
      <w:r w:rsidR="00801518"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výdavkov pre osobitné prípady úhrady liekov</w:t>
      </w:r>
      <w:r w:rsidRPr="00EB6D39">
        <w:rPr>
          <w:rFonts w:ascii="Times New Roman" w:hAnsi="Times New Roman"/>
          <w:bCs/>
          <w:sz w:val="24"/>
          <w:szCs w:val="24"/>
          <w:vertAlign w:val="superscript"/>
          <w:lang w:eastAsia="sk-SK"/>
        </w:rPr>
        <w:t>3</w:t>
      </w:r>
      <w:r w:rsidRPr="00EB6D39">
        <w:rPr>
          <w:rFonts w:ascii="Times New Roman" w:hAnsi="Times New Roman"/>
          <w:bCs/>
          <w:sz w:val="24"/>
          <w:szCs w:val="24"/>
          <w:lang w:eastAsia="sk-SK"/>
        </w:rPr>
        <w:t>) jednotlivo pre každú zdravotnú poisťovňu na rok 2025</w:t>
      </w:r>
      <w:bookmarkEnd w:id="9"/>
      <w:r w:rsidR="00801518" w:rsidRPr="00EB6D39">
        <w:rPr>
          <w:rFonts w:ascii="Times New Roman" w:hAnsi="Times New Roman"/>
          <w:bCs/>
          <w:sz w:val="24"/>
          <w:szCs w:val="24"/>
          <w:lang w:eastAsia="sk-SK"/>
        </w:rPr>
        <w:t>.</w:t>
      </w:r>
    </w:p>
    <w:p w14:paraId="36D0B93A" w14:textId="77777777" w:rsidR="003344B0" w:rsidRPr="00EB6D39" w:rsidRDefault="003344B0" w:rsidP="00A21ECF">
      <w:pPr>
        <w:spacing w:after="0" w:line="240" w:lineRule="auto"/>
        <w:jc w:val="both"/>
        <w:rPr>
          <w:rFonts w:ascii="Times New Roman" w:hAnsi="Times New Roman"/>
          <w:bCs/>
          <w:sz w:val="24"/>
          <w:szCs w:val="24"/>
          <w:lang w:eastAsia="sk-SK"/>
        </w:rPr>
      </w:pPr>
    </w:p>
    <w:p w14:paraId="613A8880" w14:textId="21E1B40A" w:rsidR="003344B0" w:rsidRPr="00EB6D39" w:rsidRDefault="003344B0" w:rsidP="003344B0">
      <w:pPr>
        <w:spacing w:after="0" w:line="240" w:lineRule="auto"/>
        <w:jc w:val="both"/>
        <w:rPr>
          <w:rFonts w:ascii="Times New Roman" w:hAnsi="Times New Roman"/>
          <w:bCs/>
          <w:sz w:val="24"/>
          <w:szCs w:val="24"/>
          <w:lang w:eastAsia="sk-SK"/>
        </w:rPr>
      </w:pPr>
      <w:r w:rsidRPr="00EB6D39">
        <w:rPr>
          <w:rFonts w:ascii="Times New Roman" w:eastAsiaTheme="minorEastAsia" w:hAnsi="Times New Roman" w:cs="Times New Roman"/>
          <w:b/>
          <w:bCs/>
        </w:rPr>
        <w:t>Tabuľka 1</w:t>
      </w:r>
      <w:r w:rsidR="00642A02">
        <w:rPr>
          <w:rFonts w:ascii="Times New Roman" w:eastAsiaTheme="minorEastAsia" w:hAnsi="Times New Roman" w:cs="Times New Roman"/>
          <w:b/>
          <w:bCs/>
        </w:rPr>
        <w:t>7</w:t>
      </w:r>
      <w:r w:rsidRPr="00EB6D39">
        <w:rPr>
          <w:rFonts w:ascii="Times New Roman" w:eastAsiaTheme="minorEastAsia" w:hAnsi="Times New Roman" w:cs="Times New Roman"/>
          <w:b/>
          <w:bCs/>
        </w:rPr>
        <w:t>:</w:t>
      </w:r>
      <w:r w:rsidRPr="00EB6D39">
        <w:t xml:space="preserve"> </w:t>
      </w:r>
      <w:r w:rsidRPr="00EB6D39">
        <w:rPr>
          <w:rFonts w:ascii="Times New Roman" w:eastAsia="Times New Roman" w:hAnsi="Times New Roman" w:cs="Times New Roman"/>
          <w:b/>
          <w:bCs/>
          <w:sz w:val="24"/>
          <w:szCs w:val="24"/>
          <w:lang w:eastAsia="sk-SK"/>
        </w:rPr>
        <w:t>Maximálna suma výdavkov pre osobitné prípady úhrady liekov</w:t>
      </w: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2"/>
        <w:gridCol w:w="1701"/>
        <w:gridCol w:w="1842"/>
        <w:gridCol w:w="1701"/>
        <w:gridCol w:w="1418"/>
      </w:tblGrid>
      <w:tr w:rsidR="00EB6D39" w:rsidRPr="00EB6D39" w14:paraId="362568D9" w14:textId="77777777" w:rsidTr="00801518">
        <w:trPr>
          <w:trHeight w:val="852"/>
        </w:trPr>
        <w:tc>
          <w:tcPr>
            <w:tcW w:w="2552" w:type="dxa"/>
            <w:shd w:val="clear" w:color="auto" w:fill="auto"/>
            <w:vAlign w:val="center"/>
            <w:hideMark/>
          </w:tcPr>
          <w:p w14:paraId="3939ECE6" w14:textId="77777777" w:rsidR="00801518" w:rsidRPr="00EB6D39" w:rsidRDefault="00801518" w:rsidP="008E3287">
            <w:pPr>
              <w:spacing w:after="0" w:line="240" w:lineRule="auto"/>
              <w:jc w:val="both"/>
              <w:rPr>
                <w:rFonts w:ascii="Times New Roman" w:eastAsia="Times New Roman" w:hAnsi="Times New Roman" w:cs="Times New Roman"/>
                <w:sz w:val="20"/>
                <w:szCs w:val="20"/>
                <w:lang w:eastAsia="sk-SK"/>
              </w:rPr>
            </w:pPr>
            <w:r w:rsidRPr="00EB6D39">
              <w:rPr>
                <w:rFonts w:ascii="Times New Roman" w:eastAsia="Times New Roman" w:hAnsi="Times New Roman" w:cs="Times New Roman"/>
                <w:sz w:val="20"/>
                <w:szCs w:val="20"/>
                <w:lang w:eastAsia="sk-SK"/>
              </w:rPr>
              <w:t>  v eurách</w:t>
            </w:r>
          </w:p>
        </w:tc>
        <w:tc>
          <w:tcPr>
            <w:tcW w:w="1701" w:type="dxa"/>
            <w:shd w:val="clear" w:color="auto" w:fill="auto"/>
            <w:vAlign w:val="center"/>
            <w:hideMark/>
          </w:tcPr>
          <w:p w14:paraId="7E4209A5" w14:textId="77777777" w:rsidR="00801518" w:rsidRPr="00EB6D39" w:rsidRDefault="00801518"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Všeobecná zdravotná poisťovňa, a. s.</w:t>
            </w:r>
          </w:p>
        </w:tc>
        <w:tc>
          <w:tcPr>
            <w:tcW w:w="1842" w:type="dxa"/>
            <w:shd w:val="clear" w:color="auto" w:fill="auto"/>
            <w:vAlign w:val="center"/>
            <w:hideMark/>
          </w:tcPr>
          <w:p w14:paraId="46790AD5" w14:textId="77777777" w:rsidR="00801518" w:rsidRPr="00EB6D39" w:rsidRDefault="00801518"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Dôvera zdravotná poisťovňa, a. s.</w:t>
            </w:r>
          </w:p>
        </w:tc>
        <w:tc>
          <w:tcPr>
            <w:tcW w:w="1701" w:type="dxa"/>
            <w:shd w:val="clear" w:color="auto" w:fill="auto"/>
            <w:vAlign w:val="center"/>
            <w:hideMark/>
          </w:tcPr>
          <w:p w14:paraId="2CA16C04" w14:textId="77777777" w:rsidR="00801518" w:rsidRPr="00EB6D39" w:rsidRDefault="00801518" w:rsidP="008E3287">
            <w:pPr>
              <w:spacing w:after="0" w:line="240" w:lineRule="auto"/>
              <w:jc w:val="center"/>
              <w:rPr>
                <w:rFonts w:ascii="Times New Roman" w:eastAsia="Times New Roman" w:hAnsi="Times New Roman" w:cs="Times New Roman"/>
                <w:b/>
                <w:bCs/>
                <w:sz w:val="20"/>
                <w:szCs w:val="20"/>
                <w:lang w:eastAsia="sk-SK"/>
              </w:rPr>
            </w:pPr>
            <w:proofErr w:type="spellStart"/>
            <w:r w:rsidRPr="00EB6D39">
              <w:rPr>
                <w:rFonts w:ascii="Times New Roman" w:eastAsia="Times New Roman" w:hAnsi="Times New Roman" w:cs="Times New Roman"/>
                <w:b/>
                <w:bCs/>
                <w:sz w:val="20"/>
                <w:szCs w:val="20"/>
                <w:lang w:eastAsia="sk-SK"/>
              </w:rPr>
              <w:t>Union</w:t>
            </w:r>
            <w:proofErr w:type="spellEnd"/>
            <w:r w:rsidRPr="00EB6D39">
              <w:rPr>
                <w:rFonts w:ascii="Times New Roman" w:eastAsia="Times New Roman" w:hAnsi="Times New Roman" w:cs="Times New Roman"/>
                <w:b/>
                <w:bCs/>
                <w:sz w:val="20"/>
                <w:szCs w:val="20"/>
                <w:lang w:eastAsia="sk-SK"/>
              </w:rPr>
              <w:t xml:space="preserve"> zdravotná poisťovňa, a. s.</w:t>
            </w:r>
          </w:p>
        </w:tc>
        <w:tc>
          <w:tcPr>
            <w:tcW w:w="1418" w:type="dxa"/>
            <w:shd w:val="clear" w:color="auto" w:fill="auto"/>
            <w:vAlign w:val="center"/>
            <w:hideMark/>
          </w:tcPr>
          <w:p w14:paraId="47B998BD" w14:textId="77777777" w:rsidR="00801518" w:rsidRPr="00EB6D39" w:rsidRDefault="00801518" w:rsidP="008E3287">
            <w:pPr>
              <w:spacing w:after="0" w:line="240" w:lineRule="auto"/>
              <w:jc w:val="center"/>
              <w:rPr>
                <w:rFonts w:ascii="Times New Roman" w:eastAsia="Times New Roman" w:hAnsi="Times New Roman" w:cs="Times New Roman"/>
                <w:b/>
                <w:bCs/>
                <w:sz w:val="20"/>
                <w:szCs w:val="20"/>
                <w:lang w:eastAsia="sk-SK"/>
              </w:rPr>
            </w:pPr>
            <w:r w:rsidRPr="00EB6D39">
              <w:rPr>
                <w:rFonts w:ascii="Times New Roman" w:eastAsia="Times New Roman" w:hAnsi="Times New Roman" w:cs="Times New Roman"/>
                <w:b/>
                <w:bCs/>
                <w:sz w:val="20"/>
                <w:szCs w:val="20"/>
                <w:lang w:eastAsia="sk-SK"/>
              </w:rPr>
              <w:t>Spolu</w:t>
            </w:r>
          </w:p>
        </w:tc>
      </w:tr>
      <w:tr w:rsidR="00712512" w:rsidRPr="00EB6D39" w14:paraId="4CE2357C" w14:textId="77777777" w:rsidTr="00712512">
        <w:trPr>
          <w:trHeight w:val="726"/>
        </w:trPr>
        <w:tc>
          <w:tcPr>
            <w:tcW w:w="2552" w:type="dxa"/>
            <w:shd w:val="clear" w:color="auto" w:fill="auto"/>
            <w:vAlign w:val="center"/>
            <w:hideMark/>
          </w:tcPr>
          <w:p w14:paraId="54340CAC" w14:textId="77777777" w:rsidR="00712512" w:rsidRPr="00EB6D39" w:rsidRDefault="00712512" w:rsidP="00712512">
            <w:pPr>
              <w:spacing w:after="0" w:line="240" w:lineRule="auto"/>
              <w:jc w:val="both"/>
              <w:rPr>
                <w:rFonts w:ascii="Times New Roman" w:hAnsi="Times New Roman" w:cs="Times New Roman"/>
                <w:b/>
                <w:sz w:val="20"/>
                <w:szCs w:val="20"/>
                <w:lang w:eastAsia="sk-SK"/>
              </w:rPr>
            </w:pPr>
            <w:r w:rsidRPr="00EB6D39">
              <w:rPr>
                <w:rFonts w:ascii="Times New Roman" w:hAnsi="Times New Roman" w:cs="Times New Roman"/>
                <w:b/>
                <w:sz w:val="20"/>
                <w:szCs w:val="20"/>
                <w:lang w:eastAsia="sk-SK"/>
              </w:rPr>
              <w:t xml:space="preserve">Maximálna suma výdavkov pre osobitné prípady úhrady liekov </w:t>
            </w:r>
          </w:p>
        </w:tc>
        <w:tc>
          <w:tcPr>
            <w:tcW w:w="1701" w:type="dxa"/>
            <w:tcBorders>
              <w:top w:val="single" w:sz="4" w:space="0" w:color="auto"/>
              <w:left w:val="nil"/>
              <w:bottom w:val="single" w:sz="4" w:space="0" w:color="auto"/>
              <w:right w:val="single" w:sz="4" w:space="0" w:color="auto"/>
            </w:tcBorders>
            <w:shd w:val="clear" w:color="auto" w:fill="auto"/>
            <w:vAlign w:val="center"/>
          </w:tcPr>
          <w:p w14:paraId="6BD6F308" w14:textId="08EE0FB9" w:rsidR="00712512" w:rsidRPr="00712512" w:rsidRDefault="00712512" w:rsidP="00712512">
            <w:pPr>
              <w:spacing w:after="0" w:line="240" w:lineRule="auto"/>
              <w:jc w:val="center"/>
              <w:rPr>
                <w:rFonts w:ascii="Times New Roman" w:hAnsi="Times New Roman" w:cs="Times New Roman"/>
                <w:sz w:val="20"/>
                <w:szCs w:val="20"/>
              </w:rPr>
            </w:pPr>
            <w:r w:rsidRPr="00712512">
              <w:rPr>
                <w:rFonts w:ascii="Times New Roman" w:hAnsi="Times New Roman" w:cs="Times New Roman"/>
                <w:sz w:val="20"/>
                <w:szCs w:val="20"/>
              </w:rPr>
              <w:t>30 495 880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0365DDD" w14:textId="6E764743" w:rsidR="00712512" w:rsidRPr="00712512" w:rsidRDefault="00712512" w:rsidP="00712512">
            <w:pPr>
              <w:spacing w:after="0" w:line="240" w:lineRule="auto"/>
              <w:jc w:val="center"/>
              <w:rPr>
                <w:rFonts w:ascii="Times New Roman" w:hAnsi="Times New Roman" w:cs="Times New Roman"/>
                <w:sz w:val="20"/>
                <w:szCs w:val="20"/>
              </w:rPr>
            </w:pPr>
            <w:r w:rsidRPr="00712512">
              <w:rPr>
                <w:rFonts w:ascii="Times New Roman" w:hAnsi="Times New Roman" w:cs="Times New Roman"/>
                <w:sz w:val="20"/>
                <w:szCs w:val="20"/>
              </w:rPr>
              <w:t>13 660 586</w:t>
            </w:r>
          </w:p>
        </w:tc>
        <w:tc>
          <w:tcPr>
            <w:tcW w:w="1701" w:type="dxa"/>
            <w:tcBorders>
              <w:top w:val="single" w:sz="4" w:space="0" w:color="auto"/>
              <w:left w:val="nil"/>
              <w:bottom w:val="single" w:sz="4" w:space="0" w:color="auto"/>
              <w:right w:val="single" w:sz="4" w:space="0" w:color="auto"/>
            </w:tcBorders>
            <w:shd w:val="clear" w:color="auto" w:fill="auto"/>
            <w:vAlign w:val="center"/>
          </w:tcPr>
          <w:p w14:paraId="30BBA6C0" w14:textId="5F993D0A" w:rsidR="00712512" w:rsidRPr="00712512" w:rsidRDefault="00712512" w:rsidP="00712512">
            <w:pPr>
              <w:spacing w:after="0" w:line="240" w:lineRule="auto"/>
              <w:jc w:val="center"/>
              <w:rPr>
                <w:rFonts w:ascii="Times New Roman" w:hAnsi="Times New Roman" w:cs="Times New Roman"/>
                <w:sz w:val="20"/>
                <w:szCs w:val="20"/>
              </w:rPr>
            </w:pPr>
            <w:r w:rsidRPr="00712512">
              <w:rPr>
                <w:rFonts w:ascii="Times New Roman" w:hAnsi="Times New Roman" w:cs="Times New Roman"/>
                <w:sz w:val="20"/>
                <w:szCs w:val="20"/>
              </w:rPr>
              <w:t>3 838 404</w:t>
            </w:r>
          </w:p>
        </w:tc>
        <w:tc>
          <w:tcPr>
            <w:tcW w:w="1418" w:type="dxa"/>
            <w:tcBorders>
              <w:top w:val="single" w:sz="4" w:space="0" w:color="auto"/>
              <w:left w:val="nil"/>
              <w:bottom w:val="single" w:sz="4" w:space="0" w:color="auto"/>
              <w:right w:val="single" w:sz="4" w:space="0" w:color="auto"/>
            </w:tcBorders>
            <w:shd w:val="clear" w:color="auto" w:fill="auto"/>
            <w:vAlign w:val="center"/>
          </w:tcPr>
          <w:p w14:paraId="29F8E7D2" w14:textId="49D314DB" w:rsidR="00712512" w:rsidRPr="00712512" w:rsidRDefault="00712512" w:rsidP="00712512">
            <w:pPr>
              <w:spacing w:after="0" w:line="240" w:lineRule="auto"/>
              <w:jc w:val="center"/>
              <w:rPr>
                <w:rFonts w:ascii="Times New Roman" w:hAnsi="Times New Roman" w:cs="Times New Roman"/>
                <w:sz w:val="20"/>
                <w:szCs w:val="20"/>
              </w:rPr>
            </w:pPr>
            <w:r w:rsidRPr="00712512">
              <w:rPr>
                <w:rFonts w:ascii="Times New Roman" w:hAnsi="Times New Roman" w:cs="Times New Roman"/>
                <w:sz w:val="20"/>
                <w:szCs w:val="20"/>
              </w:rPr>
              <w:t>47 994 870</w:t>
            </w:r>
          </w:p>
        </w:tc>
      </w:tr>
    </w:tbl>
    <w:p w14:paraId="728A181C" w14:textId="045B6EFE" w:rsidR="005F033A" w:rsidRPr="00EB6D39" w:rsidRDefault="00EF73E5" w:rsidP="00A21ECF">
      <w:pPr>
        <w:spacing w:after="0" w:line="240" w:lineRule="auto"/>
        <w:jc w:val="both"/>
        <w:rPr>
          <w:rFonts w:ascii="Times New Roman" w:hAnsi="Times New Roman"/>
          <w:bCs/>
          <w:sz w:val="24"/>
          <w:szCs w:val="24"/>
          <w:lang w:eastAsia="sk-SK"/>
        </w:rPr>
      </w:pPr>
      <w:r w:rsidRPr="00EB6D39">
        <w:rPr>
          <w:rFonts w:ascii="Times New Roman" w:hAnsi="Times New Roman"/>
          <w:sz w:val="24"/>
          <w:szCs w:val="24"/>
        </w:rPr>
        <w:lastRenderedPageBreak/>
        <w:tab/>
      </w:r>
    </w:p>
    <w:p w14:paraId="50BD0606" w14:textId="77777777" w:rsidR="00801518" w:rsidRPr="00EB6D39" w:rsidRDefault="00801518" w:rsidP="00801518">
      <w:pPr>
        <w:spacing w:after="0" w:line="240" w:lineRule="auto"/>
        <w:jc w:val="both"/>
        <w:rPr>
          <w:rFonts w:ascii="Times New Roman" w:hAnsi="Times New Roman"/>
          <w:sz w:val="24"/>
          <w:szCs w:val="24"/>
        </w:rPr>
      </w:pPr>
      <w:r w:rsidRPr="00EB6D39">
        <w:rPr>
          <w:rFonts w:ascii="Times New Roman" w:hAnsi="Times New Roman"/>
          <w:sz w:val="24"/>
          <w:szCs w:val="24"/>
        </w:rPr>
        <w:t xml:space="preserve">Doplnenie podľa poznatkov z aplikačnej praxe často uvádzaných dôvodov neodsúhlasenia </w:t>
      </w:r>
      <w:proofErr w:type="spellStart"/>
      <w:r w:rsidRPr="00EB6D39">
        <w:rPr>
          <w:rFonts w:ascii="Times New Roman" w:hAnsi="Times New Roman"/>
          <w:sz w:val="24"/>
          <w:szCs w:val="24"/>
        </w:rPr>
        <w:t>výnimkových</w:t>
      </w:r>
      <w:proofErr w:type="spellEnd"/>
      <w:r w:rsidRPr="00EB6D39">
        <w:rPr>
          <w:rFonts w:ascii="Times New Roman" w:hAnsi="Times New Roman"/>
          <w:sz w:val="24"/>
          <w:szCs w:val="24"/>
        </w:rPr>
        <w:t xml:space="preserve"> liekov z dôvodu prekročenia finančných limitov alokovaných na úhradu liekov na predchádzajúci súhlas zdravotnej poisťovne. </w:t>
      </w:r>
    </w:p>
    <w:p w14:paraId="1C09EB0F" w14:textId="77777777" w:rsidR="00A21ECF" w:rsidRPr="00EB6D39" w:rsidRDefault="00A21ECF" w:rsidP="00A21ECF">
      <w:pPr>
        <w:spacing w:after="0" w:line="240" w:lineRule="auto"/>
        <w:jc w:val="both"/>
        <w:rPr>
          <w:rFonts w:ascii="Times New Roman" w:hAnsi="Times New Roman"/>
          <w:bCs/>
          <w:sz w:val="24"/>
          <w:szCs w:val="24"/>
          <w:lang w:eastAsia="sk-SK"/>
        </w:rPr>
      </w:pPr>
    </w:p>
    <w:p w14:paraId="511FC52B" w14:textId="0D75772E" w:rsidR="00A21ECF" w:rsidRPr="00EB6D39" w:rsidRDefault="00A21ECF" w:rsidP="00A21ECF">
      <w:pPr>
        <w:spacing w:after="0" w:line="240" w:lineRule="auto"/>
        <w:jc w:val="both"/>
        <w:rPr>
          <w:rFonts w:ascii="Times New Roman" w:hAnsi="Times New Roman"/>
          <w:bCs/>
          <w:sz w:val="24"/>
          <w:szCs w:val="24"/>
          <w:lang w:eastAsia="sk-SK"/>
        </w:rPr>
      </w:pPr>
      <w:r w:rsidRPr="00EB6D39">
        <w:rPr>
          <w:rFonts w:ascii="Times New Roman" w:hAnsi="Times New Roman"/>
          <w:bCs/>
          <w:sz w:val="24"/>
          <w:szCs w:val="24"/>
          <w:lang w:eastAsia="sk-SK"/>
        </w:rPr>
        <w:t>Tabuľka č. 4</w:t>
      </w:r>
      <w:r w:rsidR="00801518" w:rsidRPr="00EB6D39">
        <w:rPr>
          <w:rFonts w:ascii="Times New Roman" w:hAnsi="Times New Roman"/>
          <w:bCs/>
          <w:sz w:val="24"/>
          <w:szCs w:val="24"/>
          <w:lang w:eastAsia="sk-SK"/>
        </w:rPr>
        <w:t xml:space="preserve"> ustanovuje m</w:t>
      </w:r>
      <w:r w:rsidRPr="00EB6D39">
        <w:rPr>
          <w:rFonts w:ascii="Times New Roman" w:hAnsi="Times New Roman"/>
          <w:bCs/>
          <w:sz w:val="24"/>
          <w:szCs w:val="24"/>
          <w:lang w:eastAsia="sk-SK"/>
        </w:rPr>
        <w:t>inimáln</w:t>
      </w:r>
      <w:r w:rsidR="00801518" w:rsidRPr="00EB6D39">
        <w:rPr>
          <w:rFonts w:ascii="Times New Roman" w:hAnsi="Times New Roman"/>
          <w:bCs/>
          <w:sz w:val="24"/>
          <w:szCs w:val="24"/>
          <w:lang w:eastAsia="sk-SK"/>
        </w:rPr>
        <w:t>u</w:t>
      </w:r>
      <w:r w:rsidRPr="00EB6D39">
        <w:rPr>
          <w:rFonts w:ascii="Times New Roman" w:hAnsi="Times New Roman"/>
          <w:bCs/>
          <w:sz w:val="24"/>
          <w:szCs w:val="24"/>
          <w:lang w:eastAsia="sk-SK"/>
        </w:rPr>
        <w:t xml:space="preserve"> suma výdavkov určená pre subjekty verejnej správy, ktorým sa poskytnutá zdravotná starostlivosť uhrádza z verejného zdravotného poistenia na rok 2025</w:t>
      </w:r>
    </w:p>
    <w:p w14:paraId="5F1EBB7D" w14:textId="77777777" w:rsidR="003344B0" w:rsidRPr="00EB6D39" w:rsidRDefault="003344B0" w:rsidP="00A21ECF">
      <w:pPr>
        <w:spacing w:after="0" w:line="240" w:lineRule="auto"/>
        <w:jc w:val="both"/>
        <w:rPr>
          <w:rFonts w:ascii="Times New Roman" w:hAnsi="Times New Roman"/>
          <w:bCs/>
          <w:sz w:val="24"/>
          <w:szCs w:val="24"/>
          <w:lang w:eastAsia="sk-SK"/>
        </w:rPr>
      </w:pPr>
    </w:p>
    <w:p w14:paraId="0BC04733" w14:textId="06F575A2" w:rsidR="003344B0" w:rsidRPr="00EB6D39" w:rsidRDefault="003344B0" w:rsidP="00A21ECF">
      <w:pPr>
        <w:spacing w:after="0" w:line="240" w:lineRule="auto"/>
        <w:jc w:val="both"/>
        <w:rPr>
          <w:rFonts w:ascii="Times New Roman" w:hAnsi="Times New Roman" w:cs="Times New Roman"/>
          <w:b/>
          <w:sz w:val="24"/>
          <w:szCs w:val="24"/>
          <w:lang w:eastAsia="sk-SK"/>
        </w:rPr>
      </w:pPr>
      <w:r w:rsidRPr="00EB6D39">
        <w:rPr>
          <w:rFonts w:ascii="Times New Roman" w:eastAsiaTheme="minorEastAsia" w:hAnsi="Times New Roman" w:cs="Times New Roman"/>
          <w:b/>
          <w:bCs/>
        </w:rPr>
        <w:t xml:space="preserve">Tabuľka </w:t>
      </w:r>
      <w:r w:rsidR="00642A02">
        <w:rPr>
          <w:rFonts w:ascii="Times New Roman" w:eastAsiaTheme="minorEastAsia" w:hAnsi="Times New Roman" w:cs="Times New Roman"/>
          <w:b/>
          <w:bCs/>
        </w:rPr>
        <w:t>18</w:t>
      </w:r>
      <w:r w:rsidRPr="00EB6D39">
        <w:rPr>
          <w:rFonts w:ascii="Times New Roman" w:eastAsiaTheme="minorEastAsia" w:hAnsi="Times New Roman" w:cs="Times New Roman"/>
          <w:b/>
          <w:bCs/>
        </w:rPr>
        <w:t>:</w:t>
      </w:r>
      <w:r w:rsidRPr="00EB6D39">
        <w:t xml:space="preserve"> </w:t>
      </w:r>
      <w:r w:rsidRPr="00EB6D39">
        <w:rPr>
          <w:rFonts w:ascii="Times New Roman" w:hAnsi="Times New Roman" w:cs="Times New Roman"/>
          <w:b/>
          <w:sz w:val="24"/>
          <w:szCs w:val="24"/>
          <w:lang w:eastAsia="sk-SK"/>
        </w:rPr>
        <w:t>Minimálna suma výdavkov určená pre subjekty verejnej správy, ktorým sa poskytnutá zdravotná starostlivosť uhrádza z verejného zdravotného poistenia na rok 2025 v</w:t>
      </w:r>
      <w:r w:rsidR="005F033A" w:rsidRPr="00EB6D39">
        <w:rPr>
          <w:rFonts w:ascii="Times New Roman" w:hAnsi="Times New Roman" w:cs="Times New Roman"/>
          <w:b/>
          <w:sz w:val="24"/>
          <w:szCs w:val="24"/>
          <w:lang w:eastAsia="sk-SK"/>
        </w:rPr>
        <w:t> </w:t>
      </w:r>
      <w:r w:rsidRPr="00EB6D39">
        <w:rPr>
          <w:rFonts w:ascii="Times New Roman" w:hAnsi="Times New Roman" w:cs="Times New Roman"/>
          <w:b/>
          <w:sz w:val="24"/>
          <w:szCs w:val="24"/>
          <w:lang w:eastAsia="sk-SK"/>
        </w:rPr>
        <w:t>eurách</w:t>
      </w:r>
    </w:p>
    <w:p w14:paraId="09FF4129" w14:textId="77777777" w:rsidR="005F033A" w:rsidRPr="00EB6D39" w:rsidRDefault="005F033A" w:rsidP="00A21ECF">
      <w:pPr>
        <w:spacing w:after="0" w:line="240" w:lineRule="auto"/>
        <w:jc w:val="both"/>
        <w:rPr>
          <w:rFonts w:ascii="Times New Roman" w:hAnsi="Times New Roman"/>
          <w:bCs/>
          <w:sz w:val="24"/>
          <w:szCs w:val="24"/>
          <w:lang w:eastAsia="sk-SK"/>
        </w:rPr>
      </w:pPr>
    </w:p>
    <w:tbl>
      <w:tblPr>
        <w:tblW w:w="886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44"/>
        <w:gridCol w:w="3016"/>
      </w:tblGrid>
      <w:tr w:rsidR="00EB6D39" w:rsidRPr="00EB6D39" w14:paraId="2F2006D8" w14:textId="77777777" w:rsidTr="00EB6D39">
        <w:trPr>
          <w:trHeight w:val="668"/>
        </w:trPr>
        <w:tc>
          <w:tcPr>
            <w:tcW w:w="5844" w:type="dxa"/>
            <w:shd w:val="clear" w:color="auto" w:fill="auto"/>
            <w:vAlign w:val="center"/>
            <w:hideMark/>
          </w:tcPr>
          <w:p w14:paraId="4DAF8118" w14:textId="383C40E7" w:rsidR="00801518" w:rsidRPr="00EB6D39" w:rsidRDefault="009E527B" w:rsidP="00EB6D39">
            <w:pPr>
              <w:spacing w:after="0" w:line="240" w:lineRule="auto"/>
              <w:rPr>
                <w:rFonts w:ascii="Times New Roman" w:hAnsi="Times New Roman" w:cs="Times New Roman"/>
                <w:bCs/>
                <w:sz w:val="20"/>
                <w:szCs w:val="20"/>
                <w:lang w:eastAsia="sk-SK"/>
              </w:rPr>
            </w:pPr>
            <w:r w:rsidRPr="00EB6D39">
              <w:rPr>
                <w:rFonts w:ascii="Times New Roman" w:hAnsi="Times New Roman" w:cs="Times New Roman"/>
                <w:bCs/>
                <w:sz w:val="20"/>
                <w:szCs w:val="20"/>
                <w:lang w:eastAsia="sk-SK"/>
              </w:rPr>
              <w:t>Suma výdavkov určená pre subjekty verejnej správy, ktorým sa poskytnutá zdravotná starostlivosť uhrádza z verejného zdravotného poistenia v rozpočte na rok 2025</w:t>
            </w:r>
            <w:r w:rsidR="00157439" w:rsidRPr="00EB6D39">
              <w:rPr>
                <w:rFonts w:ascii="Times New Roman" w:hAnsi="Times New Roman" w:cs="Times New Roman"/>
                <w:bCs/>
                <w:sz w:val="20"/>
                <w:szCs w:val="20"/>
                <w:lang w:eastAsia="sk-SK"/>
              </w:rPr>
              <w:t xml:space="preserve"> v eurách</w:t>
            </w:r>
          </w:p>
        </w:tc>
        <w:tc>
          <w:tcPr>
            <w:tcW w:w="3016" w:type="dxa"/>
            <w:tcBorders>
              <w:top w:val="single" w:sz="4" w:space="0" w:color="auto"/>
              <w:left w:val="nil"/>
              <w:bottom w:val="single" w:sz="4" w:space="0" w:color="auto"/>
              <w:right w:val="single" w:sz="4" w:space="0" w:color="auto"/>
            </w:tcBorders>
            <w:shd w:val="clear" w:color="auto" w:fill="auto"/>
            <w:vAlign w:val="center"/>
          </w:tcPr>
          <w:p w14:paraId="60F85540" w14:textId="77777777" w:rsidR="00801518" w:rsidRPr="00EB6D39" w:rsidRDefault="00801518" w:rsidP="005F033A">
            <w:pPr>
              <w:spacing w:after="0" w:line="240" w:lineRule="auto"/>
              <w:jc w:val="center"/>
              <w:rPr>
                <w:rFonts w:ascii="Times New Roman" w:eastAsia="Times New Roman" w:hAnsi="Times New Roman" w:cs="Times New Roman"/>
                <w:sz w:val="20"/>
                <w:szCs w:val="20"/>
              </w:rPr>
            </w:pPr>
            <w:r w:rsidRPr="00EB6D39">
              <w:rPr>
                <w:rFonts w:ascii="Times New Roman" w:hAnsi="Times New Roman" w:cs="Times New Roman"/>
                <w:sz w:val="20"/>
                <w:szCs w:val="20"/>
              </w:rPr>
              <w:t>2 609 367 000</w:t>
            </w:r>
          </w:p>
          <w:p w14:paraId="31EB68CB" w14:textId="77777777" w:rsidR="00801518" w:rsidRPr="00EB6D39" w:rsidRDefault="00801518" w:rsidP="005F033A">
            <w:pPr>
              <w:spacing w:after="0" w:line="240" w:lineRule="auto"/>
              <w:jc w:val="center"/>
              <w:rPr>
                <w:rFonts w:ascii="Times New Roman" w:hAnsi="Times New Roman" w:cs="Times New Roman"/>
                <w:sz w:val="20"/>
                <w:szCs w:val="20"/>
              </w:rPr>
            </w:pPr>
          </w:p>
        </w:tc>
      </w:tr>
      <w:tr w:rsidR="00EB6D39" w:rsidRPr="00EB6D39" w14:paraId="4E872E0E" w14:textId="77777777" w:rsidTr="00EB6D39">
        <w:trPr>
          <w:trHeight w:val="346"/>
        </w:trPr>
        <w:tc>
          <w:tcPr>
            <w:tcW w:w="5844" w:type="dxa"/>
            <w:shd w:val="clear" w:color="auto" w:fill="auto"/>
            <w:vAlign w:val="center"/>
          </w:tcPr>
          <w:p w14:paraId="3176C8FF" w14:textId="14F2B108" w:rsidR="009E527B" w:rsidRPr="00EB6D39" w:rsidRDefault="009E527B" w:rsidP="00EB6D39">
            <w:pPr>
              <w:spacing w:after="0" w:line="240" w:lineRule="auto"/>
              <w:rPr>
                <w:rFonts w:ascii="Times New Roman" w:hAnsi="Times New Roman" w:cs="Times New Roman"/>
                <w:bCs/>
                <w:sz w:val="20"/>
                <w:szCs w:val="20"/>
                <w:lang w:eastAsia="sk-SK"/>
              </w:rPr>
            </w:pPr>
            <w:r w:rsidRPr="00EB6D39">
              <w:rPr>
                <w:rFonts w:ascii="Times New Roman" w:hAnsi="Times New Roman" w:cs="Times New Roman"/>
                <w:bCs/>
                <w:sz w:val="20"/>
                <w:szCs w:val="20"/>
                <w:lang w:eastAsia="sk-SK"/>
              </w:rPr>
              <w:t>Primeraná odchýlka</w:t>
            </w:r>
          </w:p>
        </w:tc>
        <w:tc>
          <w:tcPr>
            <w:tcW w:w="3016" w:type="dxa"/>
            <w:tcBorders>
              <w:top w:val="single" w:sz="4" w:space="0" w:color="auto"/>
              <w:left w:val="nil"/>
              <w:bottom w:val="single" w:sz="4" w:space="0" w:color="auto"/>
              <w:right w:val="single" w:sz="4" w:space="0" w:color="auto"/>
            </w:tcBorders>
            <w:shd w:val="clear" w:color="auto" w:fill="auto"/>
            <w:vAlign w:val="center"/>
          </w:tcPr>
          <w:p w14:paraId="3509A838" w14:textId="2EED581C" w:rsidR="009E527B" w:rsidRPr="00EB6D39" w:rsidRDefault="009E527B" w:rsidP="005F033A">
            <w:pPr>
              <w:spacing w:after="0" w:line="240" w:lineRule="auto"/>
              <w:jc w:val="center"/>
              <w:rPr>
                <w:rFonts w:ascii="Times New Roman" w:hAnsi="Times New Roman" w:cs="Times New Roman"/>
                <w:sz w:val="20"/>
                <w:szCs w:val="20"/>
              </w:rPr>
            </w:pPr>
            <w:r w:rsidRPr="00EB6D39">
              <w:rPr>
                <w:rFonts w:ascii="Times New Roman" w:hAnsi="Times New Roman" w:cs="Times New Roman"/>
                <w:sz w:val="20"/>
                <w:szCs w:val="20"/>
              </w:rPr>
              <w:t>5%</w:t>
            </w:r>
          </w:p>
        </w:tc>
      </w:tr>
      <w:tr w:rsidR="00EB6D39" w:rsidRPr="00EB6D39" w14:paraId="58D2D43B" w14:textId="77777777" w:rsidTr="00EB6D39">
        <w:trPr>
          <w:trHeight w:val="668"/>
        </w:trPr>
        <w:tc>
          <w:tcPr>
            <w:tcW w:w="5844" w:type="dxa"/>
            <w:shd w:val="clear" w:color="auto" w:fill="auto"/>
            <w:vAlign w:val="center"/>
          </w:tcPr>
          <w:p w14:paraId="277C002B" w14:textId="592CCE1C" w:rsidR="009E527B" w:rsidRPr="00EB6D39" w:rsidRDefault="009E527B" w:rsidP="00EB6D39">
            <w:pPr>
              <w:spacing w:after="0" w:line="240" w:lineRule="auto"/>
              <w:rPr>
                <w:rFonts w:ascii="Times New Roman" w:hAnsi="Times New Roman" w:cs="Times New Roman"/>
                <w:bCs/>
                <w:sz w:val="20"/>
                <w:szCs w:val="20"/>
                <w:lang w:eastAsia="sk-SK"/>
              </w:rPr>
            </w:pPr>
            <w:bookmarkStart w:id="10" w:name="_Hlk193654306"/>
            <w:r w:rsidRPr="00EB6D39">
              <w:rPr>
                <w:rFonts w:ascii="Times New Roman" w:hAnsi="Times New Roman" w:cs="Times New Roman"/>
                <w:bCs/>
                <w:sz w:val="20"/>
                <w:szCs w:val="20"/>
                <w:lang w:eastAsia="sk-SK"/>
              </w:rPr>
              <w:t>Minimálna suma výdavkov určená pre subjekty verejnej správy, ktorým sa poskytnutá zdravotná starostlivosť uhrádza z verejného zdravotného poistenia na rok 2025 v eurách</w:t>
            </w:r>
            <w:bookmarkEnd w:id="10"/>
          </w:p>
        </w:tc>
        <w:tc>
          <w:tcPr>
            <w:tcW w:w="3016" w:type="dxa"/>
            <w:tcBorders>
              <w:top w:val="single" w:sz="4" w:space="0" w:color="auto"/>
              <w:left w:val="nil"/>
              <w:bottom w:val="single" w:sz="4" w:space="0" w:color="auto"/>
              <w:right w:val="single" w:sz="4" w:space="0" w:color="auto"/>
            </w:tcBorders>
            <w:shd w:val="clear" w:color="auto" w:fill="auto"/>
            <w:vAlign w:val="center"/>
          </w:tcPr>
          <w:p w14:paraId="5B1F3F78" w14:textId="3F54FC71" w:rsidR="009E527B" w:rsidRPr="00EB6D39" w:rsidRDefault="009E527B" w:rsidP="005F033A">
            <w:pPr>
              <w:spacing w:after="0" w:line="240" w:lineRule="auto"/>
              <w:jc w:val="center"/>
              <w:rPr>
                <w:rFonts w:ascii="Times New Roman" w:hAnsi="Times New Roman" w:cs="Times New Roman"/>
                <w:sz w:val="20"/>
                <w:szCs w:val="20"/>
              </w:rPr>
            </w:pPr>
            <w:r w:rsidRPr="00EB6D39">
              <w:rPr>
                <w:rFonts w:ascii="Times New Roman" w:hAnsi="Times New Roman" w:cs="Times New Roman"/>
                <w:sz w:val="20"/>
                <w:szCs w:val="20"/>
              </w:rPr>
              <w:t>2 478 898 650</w:t>
            </w:r>
          </w:p>
        </w:tc>
      </w:tr>
    </w:tbl>
    <w:p w14:paraId="59325F33" w14:textId="77777777" w:rsidR="00336421" w:rsidRPr="00EB6D39" w:rsidRDefault="00336421" w:rsidP="002E5CA3">
      <w:pPr>
        <w:spacing w:after="0" w:line="240" w:lineRule="auto"/>
        <w:jc w:val="both"/>
        <w:rPr>
          <w:rFonts w:ascii="Times New Roman" w:hAnsi="Times New Roman" w:cs="Times New Roman"/>
          <w:sz w:val="24"/>
          <w:szCs w:val="24"/>
        </w:rPr>
      </w:pPr>
    </w:p>
    <w:p w14:paraId="7965521F" w14:textId="0131916D" w:rsidR="00575540" w:rsidRPr="00EB6D39" w:rsidRDefault="007A6039" w:rsidP="007A6039">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Príloha č. 2</w:t>
      </w:r>
      <w:r w:rsidR="00801518" w:rsidRPr="00EB6D39">
        <w:rPr>
          <w:rFonts w:ascii="Times New Roman" w:hAnsi="Times New Roman" w:cs="Times New Roman"/>
          <w:sz w:val="24"/>
          <w:szCs w:val="24"/>
        </w:rPr>
        <w:t xml:space="preserve"> ustanovuje vzory oznámení o plnení jednotlivých súm ustanovených v prílohe č. 1.</w:t>
      </w:r>
    </w:p>
    <w:p w14:paraId="51A495DB" w14:textId="735E217B" w:rsidR="007A6039" w:rsidRPr="00EB6D39" w:rsidRDefault="00334D73" w:rsidP="00801518">
      <w:pPr>
        <w:spacing w:after="0" w:line="240" w:lineRule="auto"/>
        <w:jc w:val="both"/>
        <w:rPr>
          <w:rFonts w:ascii="Times New Roman" w:hAnsi="Times New Roman"/>
          <w:sz w:val="24"/>
          <w:szCs w:val="24"/>
        </w:rPr>
      </w:pPr>
      <w:r w:rsidRPr="00EB6D39">
        <w:rPr>
          <w:rFonts w:ascii="Times New Roman" w:hAnsi="Times New Roman" w:cs="Times New Roman"/>
          <w:sz w:val="24"/>
          <w:szCs w:val="24"/>
        </w:rPr>
        <w:t xml:space="preserve">Tabuľka č. 1 </w:t>
      </w:r>
      <w:r w:rsidR="00801518" w:rsidRPr="00EB6D39">
        <w:rPr>
          <w:rFonts w:ascii="Times New Roman" w:hAnsi="Times New Roman" w:cs="Times New Roman"/>
          <w:sz w:val="24"/>
          <w:szCs w:val="24"/>
        </w:rPr>
        <w:t>u</w:t>
      </w:r>
      <w:r w:rsidR="002F0ADB" w:rsidRPr="00EB6D39">
        <w:rPr>
          <w:rFonts w:ascii="Times New Roman" w:hAnsi="Times New Roman" w:cs="Times New Roman"/>
          <w:sz w:val="24"/>
          <w:szCs w:val="24"/>
        </w:rPr>
        <w:t>stanovuje vzor o</w:t>
      </w:r>
      <w:r w:rsidR="007A6039" w:rsidRPr="00EB6D39">
        <w:rPr>
          <w:rFonts w:ascii="Times New Roman" w:hAnsi="Times New Roman" w:cs="Times New Roman"/>
          <w:sz w:val="24"/>
          <w:szCs w:val="24"/>
        </w:rPr>
        <w:t>známeni</w:t>
      </w:r>
      <w:r w:rsidR="002F0ADB" w:rsidRPr="00EB6D39">
        <w:rPr>
          <w:rFonts w:ascii="Times New Roman" w:hAnsi="Times New Roman" w:cs="Times New Roman"/>
          <w:sz w:val="24"/>
          <w:szCs w:val="24"/>
        </w:rPr>
        <w:t>a</w:t>
      </w:r>
      <w:r w:rsidR="007A6039" w:rsidRPr="00EB6D39">
        <w:rPr>
          <w:rFonts w:ascii="Times New Roman" w:hAnsi="Times New Roman" w:cs="Times New Roman"/>
          <w:sz w:val="24"/>
          <w:szCs w:val="24"/>
        </w:rPr>
        <w:t xml:space="preserve"> o skutočných výdavkoch podľa jednotlivých typov zdravotnej starostlivosti za kalendárny mesiac</w:t>
      </w:r>
      <w:r w:rsidR="00801518" w:rsidRPr="00EB6D39">
        <w:rPr>
          <w:rFonts w:ascii="Times New Roman" w:hAnsi="Times New Roman" w:cs="Times New Roman"/>
          <w:sz w:val="24"/>
          <w:szCs w:val="24"/>
        </w:rPr>
        <w:t>, o s</w:t>
      </w:r>
      <w:r w:rsidRPr="00EB6D39">
        <w:rPr>
          <w:rFonts w:ascii="Times New Roman" w:hAnsi="Times New Roman" w:cs="Times New Roman"/>
          <w:sz w:val="24"/>
          <w:szCs w:val="24"/>
        </w:rPr>
        <w:t>kutočn</w:t>
      </w:r>
      <w:r w:rsidR="00801518" w:rsidRPr="00EB6D39">
        <w:rPr>
          <w:rFonts w:ascii="Times New Roman" w:hAnsi="Times New Roman" w:cs="Times New Roman"/>
          <w:sz w:val="24"/>
          <w:szCs w:val="24"/>
        </w:rPr>
        <w:t>ej</w:t>
      </w:r>
      <w:r w:rsidRPr="00EB6D39">
        <w:rPr>
          <w:rFonts w:ascii="Times New Roman" w:hAnsi="Times New Roman" w:cs="Times New Roman"/>
          <w:sz w:val="24"/>
          <w:szCs w:val="24"/>
        </w:rPr>
        <w:t xml:space="preserve"> sum</w:t>
      </w:r>
      <w:r w:rsidR="00801518" w:rsidRPr="00EB6D39">
        <w:rPr>
          <w:rFonts w:ascii="Times New Roman" w:hAnsi="Times New Roman" w:cs="Times New Roman"/>
          <w:sz w:val="24"/>
          <w:szCs w:val="24"/>
        </w:rPr>
        <w:t>e</w:t>
      </w:r>
      <w:r w:rsidRPr="00EB6D39">
        <w:rPr>
          <w:rFonts w:ascii="Times New Roman" w:hAnsi="Times New Roman" w:cs="Times New Roman"/>
          <w:sz w:val="24"/>
          <w:szCs w:val="24"/>
        </w:rPr>
        <w:t xml:space="preserve"> vynaložených výdavkov kumulatívne k poslednému dňu kalendárneho mesiaca, za ktorý sa údaje predkladaj </w:t>
      </w:r>
      <w:r w:rsidR="00801518" w:rsidRPr="00EB6D39">
        <w:rPr>
          <w:rFonts w:ascii="Times New Roman" w:hAnsi="Times New Roman" w:cs="Times New Roman"/>
          <w:sz w:val="24"/>
          <w:szCs w:val="24"/>
        </w:rPr>
        <w:t>a o o</w:t>
      </w:r>
      <w:r w:rsidRPr="00EB6D39">
        <w:rPr>
          <w:rFonts w:ascii="Times New Roman" w:hAnsi="Times New Roman" w:cs="Times New Roman"/>
          <w:sz w:val="24"/>
          <w:szCs w:val="24"/>
        </w:rPr>
        <w:t>čakávan</w:t>
      </w:r>
      <w:r w:rsidR="00801518" w:rsidRPr="00EB6D39">
        <w:rPr>
          <w:rFonts w:ascii="Times New Roman" w:hAnsi="Times New Roman" w:cs="Times New Roman"/>
          <w:sz w:val="24"/>
          <w:szCs w:val="24"/>
        </w:rPr>
        <w:t>ej</w:t>
      </w:r>
      <w:r w:rsidRPr="00EB6D39">
        <w:rPr>
          <w:rFonts w:ascii="Times New Roman" w:hAnsi="Times New Roman" w:cs="Times New Roman"/>
          <w:sz w:val="24"/>
          <w:szCs w:val="24"/>
        </w:rPr>
        <w:t xml:space="preserve"> skutočnos</w:t>
      </w:r>
      <w:r w:rsidR="00801518" w:rsidRPr="00EB6D39">
        <w:rPr>
          <w:rFonts w:ascii="Times New Roman" w:hAnsi="Times New Roman" w:cs="Times New Roman"/>
          <w:sz w:val="24"/>
          <w:szCs w:val="24"/>
        </w:rPr>
        <w:t>ti</w:t>
      </w:r>
      <w:r w:rsidRPr="00EB6D39">
        <w:rPr>
          <w:rFonts w:ascii="Times New Roman" w:hAnsi="Times New Roman" w:cs="Times New Roman"/>
          <w:sz w:val="24"/>
          <w:szCs w:val="24"/>
        </w:rPr>
        <w:t xml:space="preserve"> výdavkov ku koncu kalendárneho roka</w:t>
      </w:r>
      <w:r w:rsidR="00801518" w:rsidRPr="00EB6D39">
        <w:rPr>
          <w:rFonts w:ascii="Times New Roman" w:hAnsi="Times New Roman" w:cs="Times New Roman"/>
          <w:sz w:val="24"/>
          <w:szCs w:val="24"/>
        </w:rPr>
        <w:t>.</w:t>
      </w:r>
    </w:p>
    <w:p w14:paraId="7AF6115E" w14:textId="77777777" w:rsidR="00EC54CA" w:rsidRPr="00EB6D39" w:rsidRDefault="00EC54CA" w:rsidP="0043689D">
      <w:pPr>
        <w:spacing w:after="0" w:line="240" w:lineRule="auto"/>
        <w:ind w:firstLine="708"/>
        <w:jc w:val="both"/>
        <w:rPr>
          <w:rFonts w:ascii="Times New Roman" w:hAnsi="Times New Roman" w:cs="Times New Roman"/>
          <w:sz w:val="24"/>
          <w:szCs w:val="24"/>
        </w:rPr>
      </w:pPr>
    </w:p>
    <w:p w14:paraId="4AFEDE52" w14:textId="4D179E26" w:rsidR="00334D73" w:rsidRPr="00EB6D39" w:rsidRDefault="00801518" w:rsidP="00334D73">
      <w:pPr>
        <w:spacing w:after="0" w:line="240" w:lineRule="auto"/>
        <w:jc w:val="both"/>
        <w:rPr>
          <w:rFonts w:ascii="Times New Roman" w:hAnsi="Times New Roman"/>
          <w:sz w:val="24"/>
          <w:szCs w:val="24"/>
        </w:rPr>
      </w:pPr>
      <w:r w:rsidRPr="00EB6D39">
        <w:rPr>
          <w:rFonts w:ascii="Times New Roman" w:hAnsi="Times New Roman"/>
          <w:sz w:val="24"/>
          <w:szCs w:val="24"/>
        </w:rPr>
        <w:t xml:space="preserve">Tabuľka č. 2 ustanovuje vzor oznámenia </w:t>
      </w:r>
      <w:r w:rsidR="00334D73" w:rsidRPr="00EB6D39">
        <w:rPr>
          <w:rFonts w:ascii="Times New Roman" w:hAnsi="Times New Roman"/>
          <w:sz w:val="24"/>
          <w:szCs w:val="24"/>
          <w:lang w:eastAsia="sk-SK"/>
        </w:rPr>
        <w:t>o skutočnej sume vynaložených výdavkov za osobitné prípady úhrady liekov</w:t>
      </w:r>
      <w:r w:rsidR="00334D73" w:rsidRPr="00EB6D39">
        <w:rPr>
          <w:rFonts w:ascii="Times New Roman" w:hAnsi="Times New Roman"/>
          <w:sz w:val="24"/>
          <w:szCs w:val="24"/>
          <w:vertAlign w:val="superscript"/>
          <w:lang w:eastAsia="sk-SK"/>
        </w:rPr>
        <w:t>3</w:t>
      </w:r>
      <w:r w:rsidR="00334D73" w:rsidRPr="00EB6D39">
        <w:rPr>
          <w:rFonts w:ascii="Times New Roman" w:hAnsi="Times New Roman"/>
          <w:sz w:val="24"/>
          <w:szCs w:val="24"/>
          <w:lang w:eastAsia="sk-SK"/>
        </w:rPr>
        <w:t>) za kalendárny mesiac</w:t>
      </w:r>
      <w:r w:rsidR="003B15F8" w:rsidRPr="00EB6D39">
        <w:rPr>
          <w:rFonts w:ascii="Times New Roman" w:hAnsi="Times New Roman"/>
          <w:sz w:val="24"/>
          <w:szCs w:val="24"/>
          <w:lang w:eastAsia="sk-SK"/>
        </w:rPr>
        <w:t>, s</w:t>
      </w:r>
      <w:r w:rsidR="00334D73" w:rsidRPr="00EB6D39">
        <w:rPr>
          <w:rFonts w:ascii="Times New Roman" w:hAnsi="Times New Roman"/>
          <w:sz w:val="24"/>
          <w:szCs w:val="24"/>
        </w:rPr>
        <w:t>kutočn</w:t>
      </w:r>
      <w:r w:rsidR="003B15F8" w:rsidRPr="00EB6D39">
        <w:rPr>
          <w:rFonts w:ascii="Times New Roman" w:hAnsi="Times New Roman"/>
          <w:sz w:val="24"/>
          <w:szCs w:val="24"/>
        </w:rPr>
        <w:t>ej</w:t>
      </w:r>
      <w:r w:rsidR="00334D73" w:rsidRPr="00EB6D39">
        <w:rPr>
          <w:rFonts w:ascii="Times New Roman" w:hAnsi="Times New Roman"/>
          <w:sz w:val="24"/>
          <w:szCs w:val="24"/>
        </w:rPr>
        <w:t xml:space="preserve"> sum</w:t>
      </w:r>
      <w:r w:rsidR="003B15F8" w:rsidRPr="00EB6D39">
        <w:rPr>
          <w:rFonts w:ascii="Times New Roman" w:hAnsi="Times New Roman"/>
          <w:sz w:val="24"/>
          <w:szCs w:val="24"/>
        </w:rPr>
        <w:t>e</w:t>
      </w:r>
      <w:r w:rsidR="00334D73" w:rsidRPr="00EB6D39">
        <w:rPr>
          <w:rFonts w:ascii="Times New Roman" w:hAnsi="Times New Roman"/>
          <w:sz w:val="24"/>
          <w:szCs w:val="24"/>
        </w:rPr>
        <w:t xml:space="preserve"> vynaložených výdavkov za osobitné prípady úhrady liekov3) za kalendárny mesiac</w:t>
      </w:r>
      <w:r w:rsidR="003B15F8" w:rsidRPr="00EB6D39">
        <w:rPr>
          <w:rFonts w:ascii="Times New Roman" w:hAnsi="Times New Roman"/>
          <w:sz w:val="24"/>
          <w:szCs w:val="24"/>
        </w:rPr>
        <w:t>, s</w:t>
      </w:r>
      <w:r w:rsidR="00334D73" w:rsidRPr="00EB6D39">
        <w:rPr>
          <w:rFonts w:ascii="Times New Roman" w:hAnsi="Times New Roman"/>
          <w:sz w:val="24"/>
          <w:szCs w:val="24"/>
        </w:rPr>
        <w:t>kutočn</w:t>
      </w:r>
      <w:r w:rsidR="003B15F8" w:rsidRPr="00EB6D39">
        <w:rPr>
          <w:rFonts w:ascii="Times New Roman" w:hAnsi="Times New Roman"/>
          <w:sz w:val="24"/>
          <w:szCs w:val="24"/>
        </w:rPr>
        <w:t>ej</w:t>
      </w:r>
      <w:r w:rsidR="00334D73" w:rsidRPr="00EB6D39">
        <w:rPr>
          <w:rFonts w:ascii="Times New Roman" w:hAnsi="Times New Roman"/>
          <w:sz w:val="24"/>
          <w:szCs w:val="24"/>
        </w:rPr>
        <w:t xml:space="preserve"> sum</w:t>
      </w:r>
      <w:r w:rsidR="003B15F8" w:rsidRPr="00EB6D39">
        <w:rPr>
          <w:rFonts w:ascii="Times New Roman" w:hAnsi="Times New Roman"/>
          <w:sz w:val="24"/>
          <w:szCs w:val="24"/>
        </w:rPr>
        <w:t>e</w:t>
      </w:r>
      <w:r w:rsidR="00334D73" w:rsidRPr="00EB6D39">
        <w:rPr>
          <w:rFonts w:ascii="Times New Roman" w:hAnsi="Times New Roman"/>
          <w:sz w:val="24"/>
          <w:szCs w:val="24"/>
        </w:rPr>
        <w:t xml:space="preserve"> vynaložených výdavkov za osobitné prípady úhrady liekov</w:t>
      </w:r>
      <w:r w:rsidR="003B15F8" w:rsidRPr="00EB6D39">
        <w:rPr>
          <w:rFonts w:ascii="Times New Roman" w:hAnsi="Times New Roman"/>
          <w:sz w:val="24"/>
          <w:szCs w:val="24"/>
        </w:rPr>
        <w:t xml:space="preserve"> </w:t>
      </w:r>
      <w:r w:rsidR="00334D73" w:rsidRPr="00EB6D39">
        <w:rPr>
          <w:rFonts w:ascii="Times New Roman" w:hAnsi="Times New Roman"/>
          <w:sz w:val="24"/>
          <w:szCs w:val="24"/>
        </w:rPr>
        <w:t>k poslednému dňu kalendárneho mesiaca</w:t>
      </w:r>
      <w:r w:rsidR="003B15F8" w:rsidRPr="00EB6D39">
        <w:rPr>
          <w:rFonts w:ascii="Times New Roman" w:hAnsi="Times New Roman"/>
          <w:sz w:val="24"/>
          <w:szCs w:val="24"/>
        </w:rPr>
        <w:t xml:space="preserve"> o p</w:t>
      </w:r>
      <w:r w:rsidR="00334D73" w:rsidRPr="00EB6D39">
        <w:rPr>
          <w:rFonts w:ascii="Times New Roman" w:hAnsi="Times New Roman"/>
          <w:sz w:val="24"/>
          <w:szCs w:val="24"/>
        </w:rPr>
        <w:t>ercent</w:t>
      </w:r>
      <w:r w:rsidR="003B15F8" w:rsidRPr="00EB6D39">
        <w:rPr>
          <w:rFonts w:ascii="Times New Roman" w:hAnsi="Times New Roman"/>
          <w:sz w:val="24"/>
          <w:szCs w:val="24"/>
        </w:rPr>
        <w:t>e</w:t>
      </w:r>
      <w:r w:rsidR="00334D73" w:rsidRPr="00EB6D39">
        <w:rPr>
          <w:rFonts w:ascii="Times New Roman" w:hAnsi="Times New Roman"/>
          <w:sz w:val="24"/>
          <w:szCs w:val="24"/>
        </w:rPr>
        <w:t xml:space="preserve"> vyčerpania maximálnej sumy výdavkov pre osobitné prípady úhrady liekov</w:t>
      </w:r>
      <w:r w:rsidR="003B15F8" w:rsidRPr="00EB6D39">
        <w:rPr>
          <w:rFonts w:ascii="Times New Roman" w:hAnsi="Times New Roman"/>
          <w:sz w:val="24"/>
          <w:szCs w:val="24"/>
        </w:rPr>
        <w:t xml:space="preserve"> </w:t>
      </w:r>
      <w:r w:rsidR="00334D73" w:rsidRPr="00EB6D39">
        <w:rPr>
          <w:rFonts w:ascii="Times New Roman" w:hAnsi="Times New Roman"/>
          <w:sz w:val="24"/>
          <w:szCs w:val="24"/>
        </w:rPr>
        <w:t>jednotlivo pre každú zdravotnú poisťovňu podľa prílohy č. 3</w:t>
      </w:r>
      <w:r w:rsidR="003B15F8" w:rsidRPr="00EB6D39">
        <w:rPr>
          <w:rFonts w:ascii="Times New Roman" w:hAnsi="Times New Roman"/>
          <w:sz w:val="24"/>
          <w:szCs w:val="24"/>
        </w:rPr>
        <w:t>.</w:t>
      </w:r>
    </w:p>
    <w:p w14:paraId="7E9CF343" w14:textId="77777777" w:rsidR="00801518" w:rsidRPr="00EB6D39" w:rsidRDefault="00801518" w:rsidP="00801518">
      <w:pPr>
        <w:spacing w:after="0" w:line="240" w:lineRule="auto"/>
        <w:jc w:val="both"/>
        <w:rPr>
          <w:rFonts w:ascii="Times New Roman" w:hAnsi="Times New Roman"/>
          <w:sz w:val="24"/>
          <w:szCs w:val="24"/>
        </w:rPr>
      </w:pPr>
      <w:r w:rsidRPr="00EB6D39">
        <w:rPr>
          <w:rFonts w:ascii="Times New Roman" w:hAnsi="Times New Roman"/>
          <w:sz w:val="24"/>
          <w:szCs w:val="24"/>
        </w:rPr>
        <w:t xml:space="preserve">Doplnenie podľa poznatkov z aplikačnej praxe často uvádzaných dôvodov neodsúhlasenia </w:t>
      </w:r>
      <w:proofErr w:type="spellStart"/>
      <w:r w:rsidRPr="00EB6D39">
        <w:rPr>
          <w:rFonts w:ascii="Times New Roman" w:hAnsi="Times New Roman"/>
          <w:sz w:val="24"/>
          <w:szCs w:val="24"/>
        </w:rPr>
        <w:t>výnimkových</w:t>
      </w:r>
      <w:proofErr w:type="spellEnd"/>
      <w:r w:rsidRPr="00EB6D39">
        <w:rPr>
          <w:rFonts w:ascii="Times New Roman" w:hAnsi="Times New Roman"/>
          <w:sz w:val="24"/>
          <w:szCs w:val="24"/>
        </w:rPr>
        <w:t xml:space="preserve"> liekov z dôvodu prekročenia finančných limitov alokovaných na úhradu liekov na predchádzajúci súhlas zdravotnej poisťovne. </w:t>
      </w:r>
    </w:p>
    <w:p w14:paraId="77EFACCF" w14:textId="77777777" w:rsidR="00334D73" w:rsidRPr="00EB6D39" w:rsidRDefault="00334D73" w:rsidP="00334D73">
      <w:pPr>
        <w:spacing w:after="0" w:line="240" w:lineRule="auto"/>
        <w:jc w:val="both"/>
        <w:rPr>
          <w:rFonts w:ascii="Times New Roman" w:hAnsi="Times New Roman"/>
          <w:sz w:val="24"/>
          <w:szCs w:val="24"/>
        </w:rPr>
      </w:pPr>
    </w:p>
    <w:p w14:paraId="6C37ED60" w14:textId="5CA19ADD" w:rsidR="003B15F8" w:rsidRPr="00EB6D39" w:rsidRDefault="003B15F8" w:rsidP="003B15F8">
      <w:pPr>
        <w:spacing w:after="0" w:line="240" w:lineRule="auto"/>
        <w:jc w:val="both"/>
        <w:rPr>
          <w:rFonts w:ascii="Times New Roman" w:hAnsi="Times New Roman"/>
          <w:sz w:val="24"/>
          <w:szCs w:val="24"/>
        </w:rPr>
      </w:pPr>
      <w:r w:rsidRPr="00EB6D39">
        <w:rPr>
          <w:rFonts w:ascii="Times New Roman" w:hAnsi="Times New Roman"/>
          <w:sz w:val="24"/>
          <w:szCs w:val="24"/>
        </w:rPr>
        <w:t xml:space="preserve">Tabuľka č. 3 ustanovuje vzor oznámenia </w:t>
      </w:r>
      <w:r w:rsidR="00334D73" w:rsidRPr="00EB6D39">
        <w:rPr>
          <w:rFonts w:ascii="Times New Roman" w:hAnsi="Times New Roman"/>
          <w:sz w:val="24"/>
          <w:szCs w:val="24"/>
          <w:lang w:eastAsia="sk-SK"/>
        </w:rPr>
        <w:t>o odsúhlasenej sume výdavkov za osobitné prípady úhrady liekov za kalendárny mesiac</w:t>
      </w:r>
      <w:r w:rsidRPr="00EB6D39">
        <w:rPr>
          <w:rFonts w:ascii="Times New Roman" w:hAnsi="Times New Roman"/>
          <w:sz w:val="24"/>
          <w:szCs w:val="24"/>
          <w:lang w:eastAsia="sk-SK"/>
        </w:rPr>
        <w:t>, o o</w:t>
      </w:r>
      <w:r w:rsidR="00334D73" w:rsidRPr="00EB6D39">
        <w:rPr>
          <w:rFonts w:ascii="Times New Roman" w:hAnsi="Times New Roman"/>
          <w:sz w:val="24"/>
          <w:szCs w:val="24"/>
        </w:rPr>
        <w:t>dsúhlasen</w:t>
      </w:r>
      <w:r w:rsidRPr="00EB6D39">
        <w:rPr>
          <w:rFonts w:ascii="Times New Roman" w:hAnsi="Times New Roman"/>
          <w:sz w:val="24"/>
          <w:szCs w:val="24"/>
        </w:rPr>
        <w:t>ej</w:t>
      </w:r>
      <w:r w:rsidR="00334D73" w:rsidRPr="00EB6D39">
        <w:rPr>
          <w:rFonts w:ascii="Times New Roman" w:hAnsi="Times New Roman"/>
          <w:sz w:val="24"/>
          <w:szCs w:val="24"/>
        </w:rPr>
        <w:t xml:space="preserve"> sum</w:t>
      </w:r>
      <w:r w:rsidRPr="00EB6D39">
        <w:rPr>
          <w:rFonts w:ascii="Times New Roman" w:hAnsi="Times New Roman"/>
          <w:sz w:val="24"/>
          <w:szCs w:val="24"/>
        </w:rPr>
        <w:t>e</w:t>
      </w:r>
      <w:r w:rsidR="00334D73" w:rsidRPr="00EB6D39">
        <w:rPr>
          <w:rFonts w:ascii="Times New Roman" w:hAnsi="Times New Roman"/>
          <w:sz w:val="24"/>
          <w:szCs w:val="24"/>
        </w:rPr>
        <w:t xml:space="preserve"> výdavkov za osobitné prípady úhrady liekov za kalendárny mesiac</w:t>
      </w:r>
      <w:r w:rsidRPr="00EB6D39">
        <w:rPr>
          <w:rFonts w:ascii="Times New Roman" w:hAnsi="Times New Roman"/>
          <w:sz w:val="24"/>
          <w:szCs w:val="24"/>
        </w:rPr>
        <w:t>, o o</w:t>
      </w:r>
      <w:r w:rsidR="00334D73" w:rsidRPr="00EB6D39">
        <w:rPr>
          <w:rFonts w:ascii="Times New Roman" w:hAnsi="Times New Roman"/>
          <w:sz w:val="24"/>
          <w:szCs w:val="24"/>
        </w:rPr>
        <w:t>dsúhlasen</w:t>
      </w:r>
      <w:r w:rsidRPr="00EB6D39">
        <w:rPr>
          <w:rFonts w:ascii="Times New Roman" w:hAnsi="Times New Roman"/>
          <w:sz w:val="24"/>
          <w:szCs w:val="24"/>
        </w:rPr>
        <w:t>ej</w:t>
      </w:r>
      <w:r w:rsidR="00334D73" w:rsidRPr="00EB6D39">
        <w:rPr>
          <w:rFonts w:ascii="Times New Roman" w:hAnsi="Times New Roman"/>
          <w:sz w:val="24"/>
          <w:szCs w:val="24"/>
        </w:rPr>
        <w:t xml:space="preserve"> sum</w:t>
      </w:r>
      <w:r w:rsidRPr="00EB6D39">
        <w:rPr>
          <w:rFonts w:ascii="Times New Roman" w:hAnsi="Times New Roman"/>
          <w:sz w:val="24"/>
          <w:szCs w:val="24"/>
        </w:rPr>
        <w:t>e</w:t>
      </w:r>
      <w:r w:rsidR="00334D73" w:rsidRPr="00EB6D39">
        <w:rPr>
          <w:rFonts w:ascii="Times New Roman" w:hAnsi="Times New Roman"/>
          <w:sz w:val="24"/>
          <w:szCs w:val="24"/>
        </w:rPr>
        <w:t xml:space="preserve"> výdavkov za osobitné prípady úhrady liekov k poslednému dňu kalendárneho mesiaca</w:t>
      </w:r>
      <w:r w:rsidRPr="00EB6D39">
        <w:rPr>
          <w:rFonts w:ascii="Times New Roman" w:hAnsi="Times New Roman"/>
          <w:sz w:val="24"/>
          <w:szCs w:val="24"/>
        </w:rPr>
        <w:t>, o</w:t>
      </w:r>
      <w:r w:rsidR="00334D73" w:rsidRPr="00EB6D39">
        <w:rPr>
          <w:rFonts w:ascii="Times New Roman" w:hAnsi="Times New Roman"/>
          <w:sz w:val="24"/>
          <w:szCs w:val="24"/>
        </w:rPr>
        <w:t>dsúhlasen</w:t>
      </w:r>
      <w:r w:rsidRPr="00EB6D39">
        <w:rPr>
          <w:rFonts w:ascii="Times New Roman" w:hAnsi="Times New Roman"/>
          <w:sz w:val="24"/>
          <w:szCs w:val="24"/>
        </w:rPr>
        <w:t>ej</w:t>
      </w:r>
      <w:r w:rsidR="00334D73" w:rsidRPr="00EB6D39">
        <w:rPr>
          <w:rFonts w:ascii="Times New Roman" w:hAnsi="Times New Roman"/>
          <w:sz w:val="24"/>
          <w:szCs w:val="24"/>
        </w:rPr>
        <w:t xml:space="preserve"> suma úhrad liekov za kalendárny mesiac, </w:t>
      </w:r>
      <w:r w:rsidR="00463DAC" w:rsidRPr="00EB6D39">
        <w:rPr>
          <w:rFonts w:ascii="Times New Roman" w:hAnsi="Times New Roman"/>
          <w:sz w:val="24"/>
          <w:szCs w:val="24"/>
        </w:rPr>
        <w:t>o o</w:t>
      </w:r>
      <w:r w:rsidR="00334D73" w:rsidRPr="00EB6D39">
        <w:rPr>
          <w:rFonts w:ascii="Times New Roman" w:hAnsi="Times New Roman"/>
          <w:sz w:val="24"/>
          <w:szCs w:val="24"/>
        </w:rPr>
        <w:t>dsúhlasen</w:t>
      </w:r>
      <w:r w:rsidR="00463DAC" w:rsidRPr="00EB6D39">
        <w:rPr>
          <w:rFonts w:ascii="Times New Roman" w:hAnsi="Times New Roman"/>
          <w:sz w:val="24"/>
          <w:szCs w:val="24"/>
        </w:rPr>
        <w:t>ej</w:t>
      </w:r>
      <w:r w:rsidR="00334D73" w:rsidRPr="00EB6D39">
        <w:rPr>
          <w:rFonts w:ascii="Times New Roman" w:hAnsi="Times New Roman"/>
          <w:sz w:val="24"/>
          <w:szCs w:val="24"/>
        </w:rPr>
        <w:t xml:space="preserve"> sum</w:t>
      </w:r>
      <w:r w:rsidR="00463DAC" w:rsidRPr="00EB6D39">
        <w:rPr>
          <w:rFonts w:ascii="Times New Roman" w:hAnsi="Times New Roman"/>
          <w:sz w:val="24"/>
          <w:szCs w:val="24"/>
        </w:rPr>
        <w:t>e</w:t>
      </w:r>
      <w:r w:rsidR="00334D73" w:rsidRPr="00EB6D39">
        <w:rPr>
          <w:rFonts w:ascii="Times New Roman" w:hAnsi="Times New Roman"/>
          <w:sz w:val="24"/>
          <w:szCs w:val="24"/>
        </w:rPr>
        <w:t xml:space="preserve"> úhrad liekov k poslednému dňu kalendárneho mesiaca</w:t>
      </w:r>
      <w:r w:rsidR="00463DAC" w:rsidRPr="00EB6D39">
        <w:rPr>
          <w:rFonts w:ascii="Times New Roman" w:hAnsi="Times New Roman"/>
          <w:sz w:val="24"/>
          <w:szCs w:val="24"/>
        </w:rPr>
        <w:t>, o p</w:t>
      </w:r>
      <w:r w:rsidR="00334D73" w:rsidRPr="00EB6D39">
        <w:rPr>
          <w:rFonts w:ascii="Times New Roman" w:hAnsi="Times New Roman"/>
          <w:sz w:val="24"/>
          <w:szCs w:val="24"/>
        </w:rPr>
        <w:t>redpokladan</w:t>
      </w:r>
      <w:r w:rsidR="00463DAC" w:rsidRPr="00EB6D39">
        <w:rPr>
          <w:rFonts w:ascii="Times New Roman" w:hAnsi="Times New Roman"/>
          <w:sz w:val="24"/>
          <w:szCs w:val="24"/>
        </w:rPr>
        <w:t>ej</w:t>
      </w:r>
      <w:r w:rsidR="00334D73" w:rsidRPr="00EB6D39">
        <w:rPr>
          <w:rFonts w:ascii="Times New Roman" w:hAnsi="Times New Roman"/>
          <w:sz w:val="24"/>
          <w:szCs w:val="24"/>
        </w:rPr>
        <w:t xml:space="preserve"> sum</w:t>
      </w:r>
      <w:r w:rsidR="00463DAC" w:rsidRPr="00EB6D39">
        <w:rPr>
          <w:rFonts w:ascii="Times New Roman" w:hAnsi="Times New Roman"/>
          <w:sz w:val="24"/>
          <w:szCs w:val="24"/>
        </w:rPr>
        <w:t>e</w:t>
      </w:r>
      <w:r w:rsidR="00334D73" w:rsidRPr="00EB6D39">
        <w:rPr>
          <w:rFonts w:ascii="Times New Roman" w:hAnsi="Times New Roman"/>
          <w:sz w:val="24"/>
          <w:szCs w:val="24"/>
        </w:rPr>
        <w:t xml:space="preserve"> výdavkov pokračujúcich terapií u už </w:t>
      </w:r>
      <w:proofErr w:type="spellStart"/>
      <w:r w:rsidR="00334D73" w:rsidRPr="00EB6D39">
        <w:rPr>
          <w:rFonts w:ascii="Times New Roman" w:hAnsi="Times New Roman"/>
          <w:sz w:val="24"/>
          <w:szCs w:val="24"/>
        </w:rPr>
        <w:t>rozliečených</w:t>
      </w:r>
      <w:proofErr w:type="spellEnd"/>
      <w:r w:rsidR="00334D73" w:rsidRPr="00EB6D39">
        <w:rPr>
          <w:rFonts w:ascii="Times New Roman" w:hAnsi="Times New Roman"/>
          <w:sz w:val="24"/>
          <w:szCs w:val="24"/>
        </w:rPr>
        <w:t xml:space="preserve"> poistencov</w:t>
      </w:r>
      <w:r w:rsidRPr="00EB6D39">
        <w:rPr>
          <w:rFonts w:ascii="Times New Roman" w:hAnsi="Times New Roman"/>
          <w:sz w:val="24"/>
          <w:szCs w:val="24"/>
        </w:rPr>
        <w:t xml:space="preserve"> informáciu o skutočne poskytnutej úhrade liekov v eurách podľa § 88 ods. 7 a 8 zákona č. 363/2011 Z. z.. </w:t>
      </w:r>
    </w:p>
    <w:p w14:paraId="53830619" w14:textId="5B7947BE" w:rsidR="00334D73" w:rsidRPr="00EB6D39" w:rsidRDefault="00334D73" w:rsidP="00334D73">
      <w:pPr>
        <w:spacing w:after="0" w:line="240" w:lineRule="auto"/>
        <w:jc w:val="both"/>
        <w:rPr>
          <w:rFonts w:ascii="Times New Roman" w:hAnsi="Times New Roman"/>
          <w:sz w:val="24"/>
          <w:szCs w:val="24"/>
        </w:rPr>
      </w:pPr>
      <w:r w:rsidRPr="00EB6D39">
        <w:rPr>
          <w:rFonts w:ascii="Times New Roman" w:hAnsi="Times New Roman"/>
          <w:sz w:val="24"/>
          <w:szCs w:val="24"/>
        </w:rPr>
        <w:t xml:space="preserve">Oznamovanie informácií súvisí s priebežným vyhodnocovaním dodržiavania limitu maximálnej sumy výdavkov určených na </w:t>
      </w:r>
      <w:proofErr w:type="spellStart"/>
      <w:r w:rsidRPr="00EB6D39">
        <w:rPr>
          <w:rFonts w:ascii="Times New Roman" w:hAnsi="Times New Roman"/>
          <w:sz w:val="24"/>
          <w:szCs w:val="24"/>
        </w:rPr>
        <w:t>výnimkové</w:t>
      </w:r>
      <w:proofErr w:type="spellEnd"/>
      <w:r w:rsidRPr="00EB6D39">
        <w:rPr>
          <w:rFonts w:ascii="Times New Roman" w:hAnsi="Times New Roman"/>
          <w:sz w:val="24"/>
          <w:szCs w:val="24"/>
        </w:rPr>
        <w:t xml:space="preserve"> lieky v rozpočte verejnej správy podľa štruktúry výdavkov vydaných Ministerstvom zdravotníctva Slovenskej republiky a zároveň na sprehľadnenie činnosti zdravotnej poisťovne pri vynakladaní prostriedkov na </w:t>
      </w:r>
      <w:proofErr w:type="spellStart"/>
      <w:r w:rsidRPr="00EB6D39">
        <w:rPr>
          <w:rFonts w:ascii="Times New Roman" w:hAnsi="Times New Roman"/>
          <w:sz w:val="24"/>
          <w:szCs w:val="24"/>
        </w:rPr>
        <w:t>výnimkové</w:t>
      </w:r>
      <w:proofErr w:type="spellEnd"/>
      <w:r w:rsidRPr="00EB6D39">
        <w:rPr>
          <w:rFonts w:ascii="Times New Roman" w:hAnsi="Times New Roman"/>
          <w:sz w:val="24"/>
          <w:szCs w:val="24"/>
        </w:rPr>
        <w:t xml:space="preserve"> lieky pre svojich poistencov na základe verejného zdravotného poistenia.</w:t>
      </w:r>
    </w:p>
    <w:p w14:paraId="648DC1D3" w14:textId="77777777" w:rsidR="00334D73" w:rsidRPr="00EB6D39" w:rsidRDefault="00334D73" w:rsidP="00334D73">
      <w:pPr>
        <w:spacing w:after="0" w:line="240" w:lineRule="auto"/>
        <w:jc w:val="both"/>
        <w:rPr>
          <w:rFonts w:ascii="Times New Roman" w:hAnsi="Times New Roman"/>
          <w:sz w:val="24"/>
          <w:szCs w:val="24"/>
        </w:rPr>
      </w:pPr>
    </w:p>
    <w:p w14:paraId="6A2B82FB" w14:textId="2ADA01C5" w:rsidR="007A6039" w:rsidRPr="00EB6D39" w:rsidRDefault="007A6039" w:rsidP="00463DAC">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Príloha č. 3</w:t>
      </w:r>
      <w:r w:rsidR="00463DAC" w:rsidRPr="00EB6D39">
        <w:rPr>
          <w:rFonts w:ascii="Times New Roman" w:hAnsi="Times New Roman" w:cs="Times New Roman"/>
          <w:sz w:val="24"/>
          <w:szCs w:val="24"/>
        </w:rPr>
        <w:t xml:space="preserve"> u</w:t>
      </w:r>
      <w:r w:rsidR="002F0ADB" w:rsidRPr="00EB6D39">
        <w:rPr>
          <w:rFonts w:ascii="Times New Roman" w:hAnsi="Times New Roman" w:cs="Times New Roman"/>
          <w:sz w:val="24"/>
          <w:szCs w:val="24"/>
        </w:rPr>
        <w:t>stanovuje vzor o</w:t>
      </w:r>
      <w:r w:rsidRPr="00EB6D39">
        <w:rPr>
          <w:rFonts w:ascii="Times New Roman" w:hAnsi="Times New Roman" w:cs="Times New Roman"/>
          <w:sz w:val="24"/>
          <w:szCs w:val="24"/>
        </w:rPr>
        <w:t>známeni</w:t>
      </w:r>
      <w:r w:rsidR="002F0ADB" w:rsidRPr="00EB6D39">
        <w:rPr>
          <w:rFonts w:ascii="Times New Roman" w:hAnsi="Times New Roman" w:cs="Times New Roman"/>
          <w:sz w:val="24"/>
          <w:szCs w:val="24"/>
        </w:rPr>
        <w:t>a</w:t>
      </w:r>
      <w:r w:rsidRPr="00EB6D39">
        <w:rPr>
          <w:rFonts w:ascii="Times New Roman" w:hAnsi="Times New Roman" w:cs="Times New Roman"/>
          <w:sz w:val="24"/>
          <w:szCs w:val="24"/>
        </w:rPr>
        <w:t xml:space="preserve"> o skutočných výdavkoch podľa jednotlivých typov zdravotnej starostlivosti za kalendárny rok</w:t>
      </w:r>
      <w:r w:rsidR="002F0ADB" w:rsidRPr="00EB6D39">
        <w:rPr>
          <w:rFonts w:ascii="Times New Roman" w:hAnsi="Times New Roman" w:cs="Times New Roman"/>
          <w:sz w:val="24"/>
          <w:szCs w:val="24"/>
        </w:rPr>
        <w:t>.</w:t>
      </w:r>
    </w:p>
    <w:p w14:paraId="7F36752D" w14:textId="687686D1" w:rsidR="00EC54CA" w:rsidRPr="00EB6D39" w:rsidRDefault="00463DAC" w:rsidP="00463DAC">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lastRenderedPageBreak/>
        <w:t>Tabuľka č. 1 ustanovuje vzor oznámenia o skutočnej sume vynaložených výdavkov podľa jednotlivých typov zdravotnej starostlivosti za kalendárny rok</w:t>
      </w:r>
      <w:r w:rsidR="002A4651" w:rsidRPr="00EB6D39">
        <w:rPr>
          <w:rFonts w:ascii="Times New Roman" w:hAnsi="Times New Roman" w:cs="Times New Roman"/>
          <w:sz w:val="24"/>
          <w:szCs w:val="24"/>
        </w:rPr>
        <w:t>. Zdravotné poisťovne po skončení roka nahlásia v tomto oznámení minimálnu suma v eurách určenú pre jednotlivé typy zdravotnej starostlivosti, skutočnú sumu vynaložených výdavkov v eurách a splnenie minimálnej sumy (áno/nie).</w:t>
      </w:r>
    </w:p>
    <w:p w14:paraId="06C311FC" w14:textId="77777777" w:rsidR="002A4651" w:rsidRPr="00EB6D39" w:rsidRDefault="002A4651" w:rsidP="00463DAC">
      <w:pPr>
        <w:spacing w:after="0" w:line="240" w:lineRule="auto"/>
        <w:jc w:val="both"/>
        <w:rPr>
          <w:rFonts w:ascii="Times New Roman" w:hAnsi="Times New Roman" w:cs="Times New Roman"/>
          <w:sz w:val="24"/>
          <w:szCs w:val="24"/>
        </w:rPr>
      </w:pPr>
    </w:p>
    <w:p w14:paraId="5EA120BD" w14:textId="7E8CFC13" w:rsidR="00727F42" w:rsidRPr="00EB6D39" w:rsidRDefault="002A4651" w:rsidP="002A4651">
      <w:pPr>
        <w:spacing w:after="0" w:line="240" w:lineRule="auto"/>
        <w:jc w:val="both"/>
        <w:rPr>
          <w:rFonts w:ascii="Times New Roman" w:hAnsi="Times New Roman"/>
          <w:sz w:val="24"/>
          <w:szCs w:val="24"/>
          <w:lang w:eastAsia="sk-SK"/>
        </w:rPr>
      </w:pPr>
      <w:r w:rsidRPr="00EB6D39">
        <w:rPr>
          <w:rFonts w:ascii="Times New Roman" w:hAnsi="Times New Roman"/>
          <w:sz w:val="24"/>
          <w:szCs w:val="24"/>
          <w:lang w:eastAsia="sk-SK"/>
        </w:rPr>
        <w:t>Tabuľka č. 2 ustanovuje vzor o</w:t>
      </w:r>
      <w:r w:rsidR="00727F42" w:rsidRPr="00EB6D39">
        <w:rPr>
          <w:rFonts w:ascii="Times New Roman" w:hAnsi="Times New Roman"/>
          <w:sz w:val="24"/>
          <w:szCs w:val="24"/>
          <w:lang w:eastAsia="sk-SK"/>
        </w:rPr>
        <w:t>známeni</w:t>
      </w:r>
      <w:r w:rsidRPr="00EB6D39">
        <w:rPr>
          <w:rFonts w:ascii="Times New Roman" w:hAnsi="Times New Roman"/>
          <w:sz w:val="24"/>
          <w:szCs w:val="24"/>
          <w:lang w:eastAsia="sk-SK"/>
        </w:rPr>
        <w:t>a</w:t>
      </w:r>
      <w:r w:rsidR="00727F42" w:rsidRPr="00EB6D39">
        <w:rPr>
          <w:rFonts w:ascii="Times New Roman" w:hAnsi="Times New Roman"/>
          <w:sz w:val="24"/>
          <w:szCs w:val="24"/>
          <w:lang w:eastAsia="sk-SK"/>
        </w:rPr>
        <w:t xml:space="preserve"> o skutočnej sume vynaložených výdavkov za osobitné prípady úhrady liekov za kalendárny rok</w:t>
      </w:r>
      <w:r w:rsidRPr="00EB6D39">
        <w:rPr>
          <w:rFonts w:ascii="Times New Roman" w:hAnsi="Times New Roman"/>
          <w:sz w:val="24"/>
          <w:szCs w:val="24"/>
          <w:lang w:eastAsia="sk-SK"/>
        </w:rPr>
        <w:t>, a o odsúhlasenej sume úhrad liekov k poslednému dňu kalendárneho roka.</w:t>
      </w:r>
    </w:p>
    <w:p w14:paraId="3F2B0495" w14:textId="65D0FEC5" w:rsidR="00334D73" w:rsidRPr="00EB6D39" w:rsidRDefault="00334D73" w:rsidP="00EB6D39">
      <w:pPr>
        <w:spacing w:after="0" w:line="240" w:lineRule="auto"/>
        <w:ind w:firstLine="708"/>
        <w:jc w:val="both"/>
        <w:rPr>
          <w:rFonts w:ascii="Times New Roman" w:hAnsi="Times New Roman"/>
          <w:sz w:val="24"/>
          <w:szCs w:val="24"/>
        </w:rPr>
      </w:pPr>
      <w:r w:rsidRPr="00EB6D39">
        <w:rPr>
          <w:rFonts w:ascii="Times New Roman" w:hAnsi="Times New Roman"/>
          <w:sz w:val="24"/>
          <w:szCs w:val="24"/>
        </w:rPr>
        <w:t xml:space="preserve">Oznamovanie informácií súvisí s vyhodnotením dodržania limitu maximálnej sumy výdavkov určených na </w:t>
      </w:r>
      <w:proofErr w:type="spellStart"/>
      <w:r w:rsidRPr="00EB6D39">
        <w:rPr>
          <w:rFonts w:ascii="Times New Roman" w:hAnsi="Times New Roman"/>
          <w:sz w:val="24"/>
          <w:szCs w:val="24"/>
        </w:rPr>
        <w:t>výnimkové</w:t>
      </w:r>
      <w:proofErr w:type="spellEnd"/>
      <w:r w:rsidRPr="00EB6D39">
        <w:rPr>
          <w:rFonts w:ascii="Times New Roman" w:hAnsi="Times New Roman"/>
          <w:sz w:val="24"/>
          <w:szCs w:val="24"/>
        </w:rPr>
        <w:t xml:space="preserve"> lieky v rozpočte verejnej správy podľa štruktúry výdavkov vydaných Ministerstvom zdravotníctva Slovenskej republiky a zároveň na sprehľadnenie činnosti zdravotnej poisťovne pri vynakladaní prostriedkov na </w:t>
      </w:r>
      <w:proofErr w:type="spellStart"/>
      <w:r w:rsidRPr="00EB6D39">
        <w:rPr>
          <w:rFonts w:ascii="Times New Roman" w:hAnsi="Times New Roman"/>
          <w:sz w:val="24"/>
          <w:szCs w:val="24"/>
        </w:rPr>
        <w:t>výnimkové</w:t>
      </w:r>
      <w:proofErr w:type="spellEnd"/>
      <w:r w:rsidRPr="00EB6D39">
        <w:rPr>
          <w:rFonts w:ascii="Times New Roman" w:hAnsi="Times New Roman"/>
          <w:sz w:val="24"/>
          <w:szCs w:val="24"/>
        </w:rPr>
        <w:t xml:space="preserve"> lieky pre svojich poistencov na základe verejného zdravotného poistenia.</w:t>
      </w:r>
    </w:p>
    <w:p w14:paraId="224CD5AA" w14:textId="77777777" w:rsidR="007A6039" w:rsidRPr="00EB6D39" w:rsidRDefault="007A6039" w:rsidP="007A6039">
      <w:pPr>
        <w:spacing w:after="0" w:line="240" w:lineRule="auto"/>
        <w:jc w:val="both"/>
        <w:rPr>
          <w:rFonts w:ascii="Times New Roman" w:hAnsi="Times New Roman" w:cs="Times New Roman"/>
          <w:sz w:val="24"/>
          <w:szCs w:val="24"/>
        </w:rPr>
      </w:pPr>
    </w:p>
    <w:p w14:paraId="0E94E721" w14:textId="7B1A6790" w:rsidR="00727F42" w:rsidRPr="00EB6D39" w:rsidRDefault="00727F42" w:rsidP="007A6039">
      <w:pPr>
        <w:spacing w:after="0" w:line="240" w:lineRule="auto"/>
        <w:jc w:val="both"/>
        <w:rPr>
          <w:rFonts w:ascii="Times New Roman" w:hAnsi="Times New Roman" w:cs="Times New Roman"/>
          <w:sz w:val="24"/>
          <w:szCs w:val="24"/>
        </w:rPr>
      </w:pPr>
      <w:r w:rsidRPr="00EB6D39">
        <w:rPr>
          <w:rFonts w:ascii="Times New Roman" w:hAnsi="Times New Roman" w:cs="Times New Roman"/>
          <w:sz w:val="24"/>
          <w:szCs w:val="24"/>
        </w:rPr>
        <w:t>Tabuľka č. 3</w:t>
      </w:r>
      <w:r w:rsidR="00463DAC" w:rsidRPr="00EB6D39">
        <w:rPr>
          <w:rFonts w:ascii="Times New Roman" w:hAnsi="Times New Roman" w:cs="Times New Roman"/>
          <w:sz w:val="24"/>
          <w:szCs w:val="24"/>
        </w:rPr>
        <w:t xml:space="preserve"> ustanovuje vzor o</w:t>
      </w:r>
      <w:r w:rsidRPr="00EB6D39">
        <w:rPr>
          <w:rFonts w:ascii="Times New Roman" w:hAnsi="Times New Roman" w:cs="Times New Roman"/>
          <w:sz w:val="24"/>
          <w:szCs w:val="24"/>
        </w:rPr>
        <w:t>známeni</w:t>
      </w:r>
      <w:r w:rsidR="00463DAC" w:rsidRPr="00EB6D39">
        <w:rPr>
          <w:rFonts w:ascii="Times New Roman" w:hAnsi="Times New Roman" w:cs="Times New Roman"/>
          <w:sz w:val="24"/>
          <w:szCs w:val="24"/>
        </w:rPr>
        <w:t>a</w:t>
      </w:r>
      <w:r w:rsidRPr="00EB6D39">
        <w:rPr>
          <w:rFonts w:ascii="Times New Roman" w:hAnsi="Times New Roman" w:cs="Times New Roman"/>
          <w:sz w:val="24"/>
          <w:szCs w:val="24"/>
        </w:rPr>
        <w:t xml:space="preserve"> o skutočnej sume </w:t>
      </w:r>
      <w:r w:rsidR="00463DAC" w:rsidRPr="00EB6D39">
        <w:rPr>
          <w:rFonts w:ascii="Times New Roman" w:hAnsi="Times New Roman" w:cs="Times New Roman"/>
          <w:sz w:val="24"/>
          <w:szCs w:val="24"/>
        </w:rPr>
        <w:t xml:space="preserve">vynaložených </w:t>
      </w:r>
      <w:r w:rsidRPr="00EB6D39">
        <w:rPr>
          <w:rFonts w:ascii="Times New Roman" w:hAnsi="Times New Roman" w:cs="Times New Roman"/>
          <w:sz w:val="24"/>
          <w:szCs w:val="24"/>
        </w:rPr>
        <w:t>výdavkov určenej pre subjekty verejnej správy, ktorým sa poskytnutá zdravotná starostlivosť uhrádza z verejného zdravotného poistenia za kalendárny rok</w:t>
      </w:r>
      <w:r w:rsidR="002A4651" w:rsidRPr="00EB6D39">
        <w:rPr>
          <w:rFonts w:ascii="Times New Roman" w:hAnsi="Times New Roman" w:cs="Times New Roman"/>
          <w:sz w:val="24"/>
          <w:szCs w:val="24"/>
        </w:rPr>
        <w:t>.</w:t>
      </w:r>
    </w:p>
    <w:p w14:paraId="3BCB22B4" w14:textId="77777777" w:rsidR="007A6039" w:rsidRPr="00EB6D39" w:rsidRDefault="007A6039" w:rsidP="007A6039">
      <w:pPr>
        <w:spacing w:after="0" w:line="240" w:lineRule="auto"/>
        <w:jc w:val="both"/>
        <w:rPr>
          <w:rFonts w:ascii="Times New Roman" w:hAnsi="Times New Roman" w:cs="Times New Roman"/>
          <w:sz w:val="24"/>
          <w:szCs w:val="24"/>
        </w:rPr>
      </w:pPr>
    </w:p>
    <w:p w14:paraId="56495BDA" w14:textId="77777777" w:rsidR="008F264A" w:rsidRPr="00EB6D39" w:rsidRDefault="008F264A" w:rsidP="002E5CA3">
      <w:pPr>
        <w:spacing w:after="0" w:line="240" w:lineRule="auto"/>
        <w:jc w:val="both"/>
        <w:rPr>
          <w:rFonts w:ascii="Times New Roman" w:hAnsi="Times New Roman" w:cs="Times New Roman"/>
          <w:sz w:val="24"/>
          <w:szCs w:val="24"/>
        </w:rPr>
      </w:pPr>
    </w:p>
    <w:sectPr w:rsidR="008F264A" w:rsidRPr="00EB6D39" w:rsidSect="001039A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F126FE" w14:textId="77777777" w:rsidR="006D508F" w:rsidRDefault="006D508F" w:rsidP="00E74030">
      <w:pPr>
        <w:spacing w:after="0" w:line="240" w:lineRule="auto"/>
      </w:pPr>
      <w:r>
        <w:separator/>
      </w:r>
    </w:p>
  </w:endnote>
  <w:endnote w:type="continuationSeparator" w:id="0">
    <w:p w14:paraId="655483F7" w14:textId="77777777" w:rsidR="006D508F" w:rsidRDefault="006D508F" w:rsidP="00E74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ppleSystemUIFont">
    <w:altName w:val="Cambria"/>
    <w:charset w:val="00"/>
    <w:family w:val="roman"/>
    <w:pitch w:val="default"/>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8627743"/>
      <w:docPartObj>
        <w:docPartGallery w:val="Page Numbers (Bottom of Page)"/>
        <w:docPartUnique/>
      </w:docPartObj>
    </w:sdtPr>
    <w:sdtEndPr>
      <w:rPr>
        <w:rFonts w:ascii="Times New Roman" w:hAnsi="Times New Roman" w:cs="Times New Roman"/>
      </w:rPr>
    </w:sdtEndPr>
    <w:sdtContent>
      <w:p w14:paraId="1594D90D" w14:textId="5164393D" w:rsidR="00C0040A" w:rsidRPr="00C0040A" w:rsidRDefault="00C0040A">
        <w:pPr>
          <w:pStyle w:val="Pta"/>
          <w:jc w:val="center"/>
          <w:rPr>
            <w:rFonts w:ascii="Times New Roman" w:hAnsi="Times New Roman" w:cs="Times New Roman"/>
          </w:rPr>
        </w:pPr>
        <w:r w:rsidRPr="00C0040A">
          <w:rPr>
            <w:rFonts w:ascii="Times New Roman" w:hAnsi="Times New Roman" w:cs="Times New Roman"/>
          </w:rPr>
          <w:fldChar w:fldCharType="begin"/>
        </w:r>
        <w:r w:rsidRPr="00C0040A">
          <w:rPr>
            <w:rFonts w:ascii="Times New Roman" w:hAnsi="Times New Roman" w:cs="Times New Roman"/>
          </w:rPr>
          <w:instrText>PAGE   \* MERGEFORMAT</w:instrText>
        </w:r>
        <w:r w:rsidRPr="00C0040A">
          <w:rPr>
            <w:rFonts w:ascii="Times New Roman" w:hAnsi="Times New Roman" w:cs="Times New Roman"/>
          </w:rPr>
          <w:fldChar w:fldCharType="separate"/>
        </w:r>
        <w:r w:rsidR="007F311B">
          <w:rPr>
            <w:rFonts w:ascii="Times New Roman" w:hAnsi="Times New Roman" w:cs="Times New Roman"/>
            <w:noProof/>
          </w:rPr>
          <w:t>27</w:t>
        </w:r>
        <w:r w:rsidRPr="00C0040A">
          <w:rPr>
            <w:rFonts w:ascii="Times New Roman" w:hAnsi="Times New Roman" w:cs="Times New Roman"/>
          </w:rPr>
          <w:fldChar w:fldCharType="end"/>
        </w:r>
      </w:p>
    </w:sdtContent>
  </w:sdt>
  <w:p w14:paraId="0B85EA1A" w14:textId="77777777" w:rsidR="00C0040A" w:rsidRDefault="00C0040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2AD9F5" w14:textId="77777777" w:rsidR="006D508F" w:rsidRDefault="006D508F" w:rsidP="00E74030">
      <w:pPr>
        <w:spacing w:after="0" w:line="240" w:lineRule="auto"/>
      </w:pPr>
      <w:r>
        <w:separator/>
      </w:r>
    </w:p>
  </w:footnote>
  <w:footnote w:type="continuationSeparator" w:id="0">
    <w:p w14:paraId="664E024D" w14:textId="77777777" w:rsidR="006D508F" w:rsidRDefault="006D508F" w:rsidP="00E74030">
      <w:pPr>
        <w:spacing w:after="0" w:line="240" w:lineRule="auto"/>
      </w:pPr>
      <w:r>
        <w:continuationSeparator/>
      </w:r>
    </w:p>
  </w:footnote>
  <w:footnote w:id="1">
    <w:p w14:paraId="2FE31070" w14:textId="22583A8C" w:rsidR="00E53FC8" w:rsidRPr="00737DF0" w:rsidRDefault="00E53FC8" w:rsidP="00793061">
      <w:pPr>
        <w:pStyle w:val="Textpoznmkypodiarou"/>
        <w:tabs>
          <w:tab w:val="left" w:pos="426"/>
        </w:tabs>
        <w:ind w:left="426" w:hanging="426"/>
        <w:jc w:val="both"/>
        <w:rPr>
          <w:rFonts w:ascii="Times New Roman" w:hAnsi="Times New Roman"/>
          <w:sz w:val="22"/>
          <w:szCs w:val="22"/>
        </w:rPr>
      </w:pPr>
      <w:r w:rsidRPr="00737DF0">
        <w:rPr>
          <w:rStyle w:val="Odkaznapoznmkupodiarou"/>
          <w:rFonts w:ascii="Times New Roman" w:hAnsi="Times New Roman"/>
          <w:szCs w:val="22"/>
        </w:rPr>
        <w:footnoteRef/>
      </w:r>
      <w:r w:rsidRPr="00737DF0">
        <w:rPr>
          <w:rFonts w:ascii="Times New Roman" w:hAnsi="Times New Roman"/>
          <w:szCs w:val="22"/>
        </w:rPr>
        <w:t xml:space="preserve">) </w:t>
      </w:r>
      <w:r w:rsidRPr="00737DF0">
        <w:rPr>
          <w:rFonts w:ascii="Times New Roman" w:hAnsi="Times New Roman"/>
          <w:szCs w:val="22"/>
        </w:rPr>
        <w:tab/>
      </w:r>
      <w:r w:rsidRPr="00737DF0">
        <w:rPr>
          <w:rFonts w:ascii="Times New Roman" w:eastAsia="Times New Roman" w:hAnsi="Times New Roman"/>
          <w:color w:val="000000"/>
          <w:szCs w:val="22"/>
          <w:lang w:eastAsia="sk-SK"/>
        </w:rPr>
        <w:t>§ 45 ods. 6 zákona č. 576/2004 Z. z. o zdravotnej starostlivosti, službách súvisiacich s poskytovaním zdravotnej starostlivosti a o zmene a doplnení niektorých zákonov v znení zákona č. 201/2024 Z. z.</w:t>
      </w:r>
      <w:r w:rsidRPr="00793061">
        <w:rPr>
          <w:rFonts w:ascii="Times New Roman" w:eastAsia="Times New Roman" w:hAnsi="Times New Roman"/>
          <w:color w:val="000000"/>
          <w:szCs w:val="22"/>
          <w:lang w:eastAsia="sk-SK"/>
        </w:rPr>
        <w:t xml:space="preserve"> </w:t>
      </w:r>
      <w:bookmarkStart w:id="2" w:name="_Hlk193724172"/>
      <w:proofErr w:type="spellStart"/>
      <w:r>
        <w:rPr>
          <w:rFonts w:ascii="Times New Roman" w:eastAsia="Times New Roman" w:hAnsi="Times New Roman"/>
          <w:color w:val="000000"/>
          <w:szCs w:val="22"/>
          <w:lang w:eastAsia="sk-SK"/>
        </w:rPr>
        <w:t>link</w:t>
      </w:r>
      <w:proofErr w:type="spellEnd"/>
      <w:r>
        <w:rPr>
          <w:rFonts w:ascii="Times New Roman" w:eastAsia="Times New Roman" w:hAnsi="Times New Roman"/>
          <w:color w:val="000000"/>
          <w:szCs w:val="22"/>
          <w:lang w:eastAsia="sk-SK"/>
        </w:rPr>
        <w:t xml:space="preserve">: </w:t>
      </w:r>
      <w:r w:rsidRPr="008A7E55">
        <w:rPr>
          <w:rFonts w:ascii="Times New Roman" w:eastAsia="Times New Roman" w:hAnsi="Times New Roman"/>
          <w:color w:val="000000"/>
          <w:szCs w:val="22"/>
          <w:lang w:eastAsia="sk-SK"/>
        </w:rPr>
        <w:t>https://www.health.gov.sk/Zdroje?/Sources/dokumenty/Zoznam-nemocnic-pilotna-faza-centralne-riadenie.pdf</w:t>
      </w:r>
      <w:bookmarkEnd w:id="2"/>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07DE1AE4"/>
    <w:lvl w:ilvl="0">
      <w:start w:val="1"/>
      <w:numFmt w:val="bullet"/>
      <w:pStyle w:val="Zoznamsodrkami"/>
      <w:lvlText w:val=""/>
      <w:lvlJc w:val="left"/>
      <w:pPr>
        <w:tabs>
          <w:tab w:val="num" w:pos="360"/>
        </w:tabs>
        <w:ind w:left="360" w:hanging="360"/>
      </w:pPr>
      <w:rPr>
        <w:rFonts w:ascii="Symbol" w:hAnsi="Symbol" w:hint="default"/>
      </w:rPr>
    </w:lvl>
  </w:abstractNum>
  <w:abstractNum w:abstractNumId="1" w15:restartNumberingAfterBreak="0">
    <w:nsid w:val="0AC857F6"/>
    <w:multiLevelType w:val="hybridMultilevel"/>
    <w:tmpl w:val="0EA07DB8"/>
    <w:lvl w:ilvl="0" w:tplc="B3B26C16">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 w15:restartNumberingAfterBreak="0">
    <w:nsid w:val="0B613262"/>
    <w:multiLevelType w:val="hybridMultilevel"/>
    <w:tmpl w:val="0EA07DB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D291318"/>
    <w:multiLevelType w:val="hybridMultilevel"/>
    <w:tmpl w:val="ADBA5708"/>
    <w:lvl w:ilvl="0" w:tplc="F01E4D24">
      <w:start w:val="8"/>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11B706F"/>
    <w:multiLevelType w:val="hybridMultilevel"/>
    <w:tmpl w:val="E5DCBAEE"/>
    <w:lvl w:ilvl="0" w:tplc="FFFFFFFF">
      <w:start w:val="1"/>
      <w:numFmt w:val="lowerLetter"/>
      <w:lvlText w:val="%1)"/>
      <w:lvlJc w:val="left"/>
      <w:pPr>
        <w:ind w:left="790" w:hanging="43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61294F"/>
    <w:multiLevelType w:val="hybridMultilevel"/>
    <w:tmpl w:val="56685412"/>
    <w:lvl w:ilvl="0" w:tplc="6EFC3126">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8D96795"/>
    <w:multiLevelType w:val="hybridMultilevel"/>
    <w:tmpl w:val="B712E54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0121287"/>
    <w:multiLevelType w:val="hybridMultilevel"/>
    <w:tmpl w:val="ECA8A384"/>
    <w:lvl w:ilvl="0" w:tplc="FFFFFFFF">
      <w:start w:val="1"/>
      <w:numFmt w:val="lowerLetter"/>
      <w:lvlText w:val="%1)"/>
      <w:lvlJc w:val="left"/>
      <w:pPr>
        <w:ind w:left="790" w:hanging="43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1A43FCB"/>
    <w:multiLevelType w:val="hybridMultilevel"/>
    <w:tmpl w:val="E2B4C7DC"/>
    <w:lvl w:ilvl="0" w:tplc="041B000F">
      <w:start w:val="1"/>
      <w:numFmt w:val="decimal"/>
      <w:lvlText w:val="%1."/>
      <w:lvlJc w:val="left"/>
      <w:pPr>
        <w:ind w:left="1288" w:hanging="360"/>
      </w:pPr>
    </w:lvl>
    <w:lvl w:ilvl="1" w:tplc="D10C485A">
      <w:start w:val="1"/>
      <w:numFmt w:val="lowerLetter"/>
      <w:lvlText w:val="%2)"/>
      <w:lvlJc w:val="left"/>
      <w:pPr>
        <w:ind w:left="2358" w:hanging="710"/>
      </w:pPr>
      <w:rPr>
        <w:rFonts w:hint="default"/>
      </w:rPr>
    </w:lvl>
    <w:lvl w:ilvl="2" w:tplc="041B001B" w:tentative="1">
      <w:start w:val="1"/>
      <w:numFmt w:val="lowerRoman"/>
      <w:lvlText w:val="%3."/>
      <w:lvlJc w:val="right"/>
      <w:pPr>
        <w:ind w:left="2728" w:hanging="180"/>
      </w:pPr>
    </w:lvl>
    <w:lvl w:ilvl="3" w:tplc="041B000F" w:tentative="1">
      <w:start w:val="1"/>
      <w:numFmt w:val="decimal"/>
      <w:lvlText w:val="%4."/>
      <w:lvlJc w:val="left"/>
      <w:pPr>
        <w:ind w:left="3448" w:hanging="360"/>
      </w:pPr>
    </w:lvl>
    <w:lvl w:ilvl="4" w:tplc="041B0019" w:tentative="1">
      <w:start w:val="1"/>
      <w:numFmt w:val="lowerLetter"/>
      <w:lvlText w:val="%5."/>
      <w:lvlJc w:val="left"/>
      <w:pPr>
        <w:ind w:left="4168" w:hanging="360"/>
      </w:pPr>
    </w:lvl>
    <w:lvl w:ilvl="5" w:tplc="041B001B" w:tentative="1">
      <w:start w:val="1"/>
      <w:numFmt w:val="lowerRoman"/>
      <w:lvlText w:val="%6."/>
      <w:lvlJc w:val="right"/>
      <w:pPr>
        <w:ind w:left="4888" w:hanging="180"/>
      </w:pPr>
    </w:lvl>
    <w:lvl w:ilvl="6" w:tplc="041B000F" w:tentative="1">
      <w:start w:val="1"/>
      <w:numFmt w:val="decimal"/>
      <w:lvlText w:val="%7."/>
      <w:lvlJc w:val="left"/>
      <w:pPr>
        <w:ind w:left="5608" w:hanging="360"/>
      </w:pPr>
    </w:lvl>
    <w:lvl w:ilvl="7" w:tplc="041B0019" w:tentative="1">
      <w:start w:val="1"/>
      <w:numFmt w:val="lowerLetter"/>
      <w:lvlText w:val="%8."/>
      <w:lvlJc w:val="left"/>
      <w:pPr>
        <w:ind w:left="6328" w:hanging="360"/>
      </w:pPr>
    </w:lvl>
    <w:lvl w:ilvl="8" w:tplc="041B001B" w:tentative="1">
      <w:start w:val="1"/>
      <w:numFmt w:val="lowerRoman"/>
      <w:lvlText w:val="%9."/>
      <w:lvlJc w:val="right"/>
      <w:pPr>
        <w:ind w:left="7048" w:hanging="180"/>
      </w:pPr>
    </w:lvl>
  </w:abstractNum>
  <w:abstractNum w:abstractNumId="9" w15:restartNumberingAfterBreak="0">
    <w:nsid w:val="274F4B0A"/>
    <w:multiLevelType w:val="hybridMultilevel"/>
    <w:tmpl w:val="174AB6FC"/>
    <w:lvl w:ilvl="0" w:tplc="4206600E">
      <w:start w:val="1"/>
      <w:numFmt w:val="decimal"/>
      <w:lvlText w:val="%1."/>
      <w:lvlJc w:val="left"/>
      <w:pPr>
        <w:ind w:left="1418" w:hanging="71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2CF61FED"/>
    <w:multiLevelType w:val="hybridMultilevel"/>
    <w:tmpl w:val="B712E5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A93C3B"/>
    <w:multiLevelType w:val="hybridMultilevel"/>
    <w:tmpl w:val="2398DB2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2F6318F5"/>
    <w:multiLevelType w:val="hybridMultilevel"/>
    <w:tmpl w:val="4D32D4F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323973FA"/>
    <w:multiLevelType w:val="hybridMultilevel"/>
    <w:tmpl w:val="22C2E5B2"/>
    <w:lvl w:ilvl="0" w:tplc="BD4A54C2">
      <w:start w:val="1"/>
      <w:numFmt w:val="lowerLetter"/>
      <w:lvlText w:val="%1)"/>
      <w:lvlJc w:val="left"/>
      <w:pPr>
        <w:ind w:left="780" w:hanging="4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2F2291A"/>
    <w:multiLevelType w:val="hybridMultilevel"/>
    <w:tmpl w:val="7C9CEC60"/>
    <w:lvl w:ilvl="0" w:tplc="707CA468">
      <w:numFmt w:val="bullet"/>
      <w:lvlText w:val="-"/>
      <w:lvlJc w:val="left"/>
      <w:pPr>
        <w:ind w:left="720" w:hanging="360"/>
      </w:pPr>
      <w:rPr>
        <w:rFonts w:ascii="Calibri" w:eastAsiaTheme="minorEastAsia"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34364766"/>
    <w:multiLevelType w:val="hybridMultilevel"/>
    <w:tmpl w:val="CF9891CC"/>
    <w:lvl w:ilvl="0" w:tplc="A8FE9796">
      <w:start w:val="1"/>
      <w:numFmt w:val="bullet"/>
      <w:lvlText w:val="-"/>
      <w:lvlJc w:val="left"/>
      <w:pPr>
        <w:tabs>
          <w:tab w:val="num" w:pos="720"/>
        </w:tabs>
        <w:ind w:left="720" w:hanging="360"/>
      </w:pPr>
      <w:rPr>
        <w:rFonts w:ascii="Times New Roman" w:hAnsi="Times New Roman" w:hint="default"/>
      </w:rPr>
    </w:lvl>
    <w:lvl w:ilvl="1" w:tplc="FA5C36B6" w:tentative="1">
      <w:start w:val="1"/>
      <w:numFmt w:val="bullet"/>
      <w:lvlText w:val="-"/>
      <w:lvlJc w:val="left"/>
      <w:pPr>
        <w:tabs>
          <w:tab w:val="num" w:pos="1440"/>
        </w:tabs>
        <w:ind w:left="1440" w:hanging="360"/>
      </w:pPr>
      <w:rPr>
        <w:rFonts w:ascii="Times New Roman" w:hAnsi="Times New Roman" w:hint="default"/>
      </w:rPr>
    </w:lvl>
    <w:lvl w:ilvl="2" w:tplc="313C1464" w:tentative="1">
      <w:start w:val="1"/>
      <w:numFmt w:val="bullet"/>
      <w:lvlText w:val="-"/>
      <w:lvlJc w:val="left"/>
      <w:pPr>
        <w:tabs>
          <w:tab w:val="num" w:pos="2160"/>
        </w:tabs>
        <w:ind w:left="2160" w:hanging="360"/>
      </w:pPr>
      <w:rPr>
        <w:rFonts w:ascii="Times New Roman" w:hAnsi="Times New Roman" w:hint="default"/>
      </w:rPr>
    </w:lvl>
    <w:lvl w:ilvl="3" w:tplc="815413D0" w:tentative="1">
      <w:start w:val="1"/>
      <w:numFmt w:val="bullet"/>
      <w:lvlText w:val="-"/>
      <w:lvlJc w:val="left"/>
      <w:pPr>
        <w:tabs>
          <w:tab w:val="num" w:pos="2880"/>
        </w:tabs>
        <w:ind w:left="2880" w:hanging="360"/>
      </w:pPr>
      <w:rPr>
        <w:rFonts w:ascii="Times New Roman" w:hAnsi="Times New Roman" w:hint="default"/>
      </w:rPr>
    </w:lvl>
    <w:lvl w:ilvl="4" w:tplc="9258A018" w:tentative="1">
      <w:start w:val="1"/>
      <w:numFmt w:val="bullet"/>
      <w:lvlText w:val="-"/>
      <w:lvlJc w:val="left"/>
      <w:pPr>
        <w:tabs>
          <w:tab w:val="num" w:pos="3600"/>
        </w:tabs>
        <w:ind w:left="3600" w:hanging="360"/>
      </w:pPr>
      <w:rPr>
        <w:rFonts w:ascii="Times New Roman" w:hAnsi="Times New Roman" w:hint="default"/>
      </w:rPr>
    </w:lvl>
    <w:lvl w:ilvl="5" w:tplc="3572E904" w:tentative="1">
      <w:start w:val="1"/>
      <w:numFmt w:val="bullet"/>
      <w:lvlText w:val="-"/>
      <w:lvlJc w:val="left"/>
      <w:pPr>
        <w:tabs>
          <w:tab w:val="num" w:pos="4320"/>
        </w:tabs>
        <w:ind w:left="4320" w:hanging="360"/>
      </w:pPr>
      <w:rPr>
        <w:rFonts w:ascii="Times New Roman" w:hAnsi="Times New Roman" w:hint="default"/>
      </w:rPr>
    </w:lvl>
    <w:lvl w:ilvl="6" w:tplc="EA4059DE" w:tentative="1">
      <w:start w:val="1"/>
      <w:numFmt w:val="bullet"/>
      <w:lvlText w:val="-"/>
      <w:lvlJc w:val="left"/>
      <w:pPr>
        <w:tabs>
          <w:tab w:val="num" w:pos="5040"/>
        </w:tabs>
        <w:ind w:left="5040" w:hanging="360"/>
      </w:pPr>
      <w:rPr>
        <w:rFonts w:ascii="Times New Roman" w:hAnsi="Times New Roman" w:hint="default"/>
      </w:rPr>
    </w:lvl>
    <w:lvl w:ilvl="7" w:tplc="26423656" w:tentative="1">
      <w:start w:val="1"/>
      <w:numFmt w:val="bullet"/>
      <w:lvlText w:val="-"/>
      <w:lvlJc w:val="left"/>
      <w:pPr>
        <w:tabs>
          <w:tab w:val="num" w:pos="5760"/>
        </w:tabs>
        <w:ind w:left="5760" w:hanging="360"/>
      </w:pPr>
      <w:rPr>
        <w:rFonts w:ascii="Times New Roman" w:hAnsi="Times New Roman" w:hint="default"/>
      </w:rPr>
    </w:lvl>
    <w:lvl w:ilvl="8" w:tplc="E9AE660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8792860"/>
    <w:multiLevelType w:val="hybridMultilevel"/>
    <w:tmpl w:val="C062E092"/>
    <w:lvl w:ilvl="0" w:tplc="3AF89C24">
      <w:start w:val="20"/>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3EBD20B0"/>
    <w:multiLevelType w:val="hybridMultilevel"/>
    <w:tmpl w:val="1318CA36"/>
    <w:lvl w:ilvl="0" w:tplc="A37A1932">
      <w:start w:val="1"/>
      <w:numFmt w:val="low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FAE41DB"/>
    <w:multiLevelType w:val="hybridMultilevel"/>
    <w:tmpl w:val="60F288A0"/>
    <w:lvl w:ilvl="0" w:tplc="C0669882">
      <w:start w:val="8"/>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9" w15:restartNumberingAfterBreak="0">
    <w:nsid w:val="40B939C4"/>
    <w:multiLevelType w:val="hybridMultilevel"/>
    <w:tmpl w:val="3FDAF23E"/>
    <w:lvl w:ilvl="0" w:tplc="E03E5E52">
      <w:start w:val="1"/>
      <w:numFmt w:val="lowerLetter"/>
      <w:lvlText w:val="%1)"/>
      <w:lvlJc w:val="left"/>
      <w:pPr>
        <w:ind w:left="720" w:hanging="360"/>
      </w:pPr>
      <w:rPr>
        <w:rFonts w:ascii="Times New Roman" w:hAnsi="Times New Roman" w:cs="Times New Roman"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38C0F75"/>
    <w:multiLevelType w:val="hybridMultilevel"/>
    <w:tmpl w:val="4934AE84"/>
    <w:lvl w:ilvl="0" w:tplc="78DE788E">
      <w:start w:val="1"/>
      <w:numFmt w:val="bullet"/>
      <w:lvlText w:val="•"/>
      <w:lvlJc w:val="left"/>
      <w:pPr>
        <w:tabs>
          <w:tab w:val="num" w:pos="720"/>
        </w:tabs>
        <w:ind w:left="720" w:hanging="360"/>
      </w:pPr>
      <w:rPr>
        <w:rFonts w:ascii="Arial" w:hAnsi="Arial" w:hint="default"/>
      </w:rPr>
    </w:lvl>
    <w:lvl w:ilvl="1" w:tplc="7FA07C40" w:tentative="1">
      <w:start w:val="1"/>
      <w:numFmt w:val="bullet"/>
      <w:lvlText w:val="•"/>
      <w:lvlJc w:val="left"/>
      <w:pPr>
        <w:tabs>
          <w:tab w:val="num" w:pos="1440"/>
        </w:tabs>
        <w:ind w:left="1440" w:hanging="360"/>
      </w:pPr>
      <w:rPr>
        <w:rFonts w:ascii="Arial" w:hAnsi="Arial" w:hint="default"/>
      </w:rPr>
    </w:lvl>
    <w:lvl w:ilvl="2" w:tplc="04F6CED6" w:tentative="1">
      <w:start w:val="1"/>
      <w:numFmt w:val="bullet"/>
      <w:lvlText w:val="•"/>
      <w:lvlJc w:val="left"/>
      <w:pPr>
        <w:tabs>
          <w:tab w:val="num" w:pos="2160"/>
        </w:tabs>
        <w:ind w:left="2160" w:hanging="360"/>
      </w:pPr>
      <w:rPr>
        <w:rFonts w:ascii="Arial" w:hAnsi="Arial" w:hint="default"/>
      </w:rPr>
    </w:lvl>
    <w:lvl w:ilvl="3" w:tplc="9A9E2906" w:tentative="1">
      <w:start w:val="1"/>
      <w:numFmt w:val="bullet"/>
      <w:lvlText w:val="•"/>
      <w:lvlJc w:val="left"/>
      <w:pPr>
        <w:tabs>
          <w:tab w:val="num" w:pos="2880"/>
        </w:tabs>
        <w:ind w:left="2880" w:hanging="360"/>
      </w:pPr>
      <w:rPr>
        <w:rFonts w:ascii="Arial" w:hAnsi="Arial" w:hint="default"/>
      </w:rPr>
    </w:lvl>
    <w:lvl w:ilvl="4" w:tplc="40C430E2" w:tentative="1">
      <w:start w:val="1"/>
      <w:numFmt w:val="bullet"/>
      <w:lvlText w:val="•"/>
      <w:lvlJc w:val="left"/>
      <w:pPr>
        <w:tabs>
          <w:tab w:val="num" w:pos="3600"/>
        </w:tabs>
        <w:ind w:left="3600" w:hanging="360"/>
      </w:pPr>
      <w:rPr>
        <w:rFonts w:ascii="Arial" w:hAnsi="Arial" w:hint="default"/>
      </w:rPr>
    </w:lvl>
    <w:lvl w:ilvl="5" w:tplc="C68A3BFC" w:tentative="1">
      <w:start w:val="1"/>
      <w:numFmt w:val="bullet"/>
      <w:lvlText w:val="•"/>
      <w:lvlJc w:val="left"/>
      <w:pPr>
        <w:tabs>
          <w:tab w:val="num" w:pos="4320"/>
        </w:tabs>
        <w:ind w:left="4320" w:hanging="360"/>
      </w:pPr>
      <w:rPr>
        <w:rFonts w:ascii="Arial" w:hAnsi="Arial" w:hint="default"/>
      </w:rPr>
    </w:lvl>
    <w:lvl w:ilvl="6" w:tplc="8040A45E" w:tentative="1">
      <w:start w:val="1"/>
      <w:numFmt w:val="bullet"/>
      <w:lvlText w:val="•"/>
      <w:lvlJc w:val="left"/>
      <w:pPr>
        <w:tabs>
          <w:tab w:val="num" w:pos="5040"/>
        </w:tabs>
        <w:ind w:left="5040" w:hanging="360"/>
      </w:pPr>
      <w:rPr>
        <w:rFonts w:ascii="Arial" w:hAnsi="Arial" w:hint="default"/>
      </w:rPr>
    </w:lvl>
    <w:lvl w:ilvl="7" w:tplc="13EC8962" w:tentative="1">
      <w:start w:val="1"/>
      <w:numFmt w:val="bullet"/>
      <w:lvlText w:val="•"/>
      <w:lvlJc w:val="left"/>
      <w:pPr>
        <w:tabs>
          <w:tab w:val="num" w:pos="5760"/>
        </w:tabs>
        <w:ind w:left="5760" w:hanging="360"/>
      </w:pPr>
      <w:rPr>
        <w:rFonts w:ascii="Arial" w:hAnsi="Arial" w:hint="default"/>
      </w:rPr>
    </w:lvl>
    <w:lvl w:ilvl="8" w:tplc="D51654B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4F07E2F"/>
    <w:multiLevelType w:val="hybridMultilevel"/>
    <w:tmpl w:val="18B66BB4"/>
    <w:lvl w:ilvl="0" w:tplc="3C1C6D80">
      <w:start w:val="1"/>
      <w:numFmt w:val="decimal"/>
      <w:lvlText w:val="%1."/>
      <w:lvlJc w:val="left"/>
      <w:pPr>
        <w:ind w:left="1418" w:hanging="71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2" w15:restartNumberingAfterBreak="0">
    <w:nsid w:val="4B3B6289"/>
    <w:multiLevelType w:val="hybridMultilevel"/>
    <w:tmpl w:val="4516DB90"/>
    <w:lvl w:ilvl="0" w:tplc="707CA468">
      <w:numFmt w:val="bullet"/>
      <w:lvlText w:val="-"/>
      <w:lvlJc w:val="left"/>
      <w:pPr>
        <w:ind w:left="720" w:hanging="360"/>
      </w:pPr>
      <w:rPr>
        <w:rFonts w:ascii="Calibri" w:eastAsiaTheme="minorEastAsia"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4B4D14BB"/>
    <w:multiLevelType w:val="hybridMultilevel"/>
    <w:tmpl w:val="37BC71C6"/>
    <w:lvl w:ilvl="0" w:tplc="C0669882">
      <w:start w:val="8"/>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4B7F00DD"/>
    <w:multiLevelType w:val="hybridMultilevel"/>
    <w:tmpl w:val="8976F572"/>
    <w:lvl w:ilvl="0" w:tplc="041B000F">
      <w:start w:val="1"/>
      <w:numFmt w:val="decimal"/>
      <w:lvlText w:val="%1."/>
      <w:lvlJc w:val="left"/>
      <w:pPr>
        <w:ind w:left="1288"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4B9E22F9"/>
    <w:multiLevelType w:val="hybridMultilevel"/>
    <w:tmpl w:val="C47C788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4CBD3B9E"/>
    <w:multiLevelType w:val="hybridMultilevel"/>
    <w:tmpl w:val="AE92990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4F2F0F6F"/>
    <w:multiLevelType w:val="hybridMultilevel"/>
    <w:tmpl w:val="FD040746"/>
    <w:lvl w:ilvl="0" w:tplc="49B04644">
      <w:start w:val="1"/>
      <w:numFmt w:val="decimal"/>
      <w:lvlText w:val="%1."/>
      <w:lvlJc w:val="left"/>
      <w:pPr>
        <w:ind w:left="1065" w:hanging="705"/>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53BD48BD"/>
    <w:multiLevelType w:val="hybridMultilevel"/>
    <w:tmpl w:val="B712E5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3C322A4"/>
    <w:multiLevelType w:val="hybridMultilevel"/>
    <w:tmpl w:val="6EF401EC"/>
    <w:lvl w:ilvl="0" w:tplc="12F49FE4">
      <w:start w:val="1"/>
      <w:numFmt w:val="bullet"/>
      <w:lvlText w:val="-"/>
      <w:lvlJc w:val="left"/>
      <w:pPr>
        <w:tabs>
          <w:tab w:val="num" w:pos="720"/>
        </w:tabs>
        <w:ind w:left="720" w:hanging="360"/>
      </w:pPr>
      <w:rPr>
        <w:rFonts w:ascii="Times New Roman" w:hAnsi="Times New Roman" w:hint="default"/>
      </w:rPr>
    </w:lvl>
    <w:lvl w:ilvl="1" w:tplc="9028C134" w:tentative="1">
      <w:start w:val="1"/>
      <w:numFmt w:val="bullet"/>
      <w:lvlText w:val="-"/>
      <w:lvlJc w:val="left"/>
      <w:pPr>
        <w:tabs>
          <w:tab w:val="num" w:pos="1440"/>
        </w:tabs>
        <w:ind w:left="1440" w:hanging="360"/>
      </w:pPr>
      <w:rPr>
        <w:rFonts w:ascii="Times New Roman" w:hAnsi="Times New Roman" w:hint="default"/>
      </w:rPr>
    </w:lvl>
    <w:lvl w:ilvl="2" w:tplc="725CB244" w:tentative="1">
      <w:start w:val="1"/>
      <w:numFmt w:val="bullet"/>
      <w:lvlText w:val="-"/>
      <w:lvlJc w:val="left"/>
      <w:pPr>
        <w:tabs>
          <w:tab w:val="num" w:pos="2160"/>
        </w:tabs>
        <w:ind w:left="2160" w:hanging="360"/>
      </w:pPr>
      <w:rPr>
        <w:rFonts w:ascii="Times New Roman" w:hAnsi="Times New Roman" w:hint="default"/>
      </w:rPr>
    </w:lvl>
    <w:lvl w:ilvl="3" w:tplc="59EADD60" w:tentative="1">
      <w:start w:val="1"/>
      <w:numFmt w:val="bullet"/>
      <w:lvlText w:val="-"/>
      <w:lvlJc w:val="left"/>
      <w:pPr>
        <w:tabs>
          <w:tab w:val="num" w:pos="2880"/>
        </w:tabs>
        <w:ind w:left="2880" w:hanging="360"/>
      </w:pPr>
      <w:rPr>
        <w:rFonts w:ascii="Times New Roman" w:hAnsi="Times New Roman" w:hint="default"/>
      </w:rPr>
    </w:lvl>
    <w:lvl w:ilvl="4" w:tplc="310848C6" w:tentative="1">
      <w:start w:val="1"/>
      <w:numFmt w:val="bullet"/>
      <w:lvlText w:val="-"/>
      <w:lvlJc w:val="left"/>
      <w:pPr>
        <w:tabs>
          <w:tab w:val="num" w:pos="3600"/>
        </w:tabs>
        <w:ind w:left="3600" w:hanging="360"/>
      </w:pPr>
      <w:rPr>
        <w:rFonts w:ascii="Times New Roman" w:hAnsi="Times New Roman" w:hint="default"/>
      </w:rPr>
    </w:lvl>
    <w:lvl w:ilvl="5" w:tplc="2474B9DE" w:tentative="1">
      <w:start w:val="1"/>
      <w:numFmt w:val="bullet"/>
      <w:lvlText w:val="-"/>
      <w:lvlJc w:val="left"/>
      <w:pPr>
        <w:tabs>
          <w:tab w:val="num" w:pos="4320"/>
        </w:tabs>
        <w:ind w:left="4320" w:hanging="360"/>
      </w:pPr>
      <w:rPr>
        <w:rFonts w:ascii="Times New Roman" w:hAnsi="Times New Roman" w:hint="default"/>
      </w:rPr>
    </w:lvl>
    <w:lvl w:ilvl="6" w:tplc="2BA823DC" w:tentative="1">
      <w:start w:val="1"/>
      <w:numFmt w:val="bullet"/>
      <w:lvlText w:val="-"/>
      <w:lvlJc w:val="left"/>
      <w:pPr>
        <w:tabs>
          <w:tab w:val="num" w:pos="5040"/>
        </w:tabs>
        <w:ind w:left="5040" w:hanging="360"/>
      </w:pPr>
      <w:rPr>
        <w:rFonts w:ascii="Times New Roman" w:hAnsi="Times New Roman" w:hint="default"/>
      </w:rPr>
    </w:lvl>
    <w:lvl w:ilvl="7" w:tplc="2D66F3FE" w:tentative="1">
      <w:start w:val="1"/>
      <w:numFmt w:val="bullet"/>
      <w:lvlText w:val="-"/>
      <w:lvlJc w:val="left"/>
      <w:pPr>
        <w:tabs>
          <w:tab w:val="num" w:pos="5760"/>
        </w:tabs>
        <w:ind w:left="5760" w:hanging="360"/>
      </w:pPr>
      <w:rPr>
        <w:rFonts w:ascii="Times New Roman" w:hAnsi="Times New Roman" w:hint="default"/>
      </w:rPr>
    </w:lvl>
    <w:lvl w:ilvl="8" w:tplc="FFC01730"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53FE05F5"/>
    <w:multiLevelType w:val="hybridMultilevel"/>
    <w:tmpl w:val="832C8DFA"/>
    <w:lvl w:ilvl="0" w:tplc="5448AC34">
      <w:start w:val="1"/>
      <w:numFmt w:val="bullet"/>
      <w:lvlText w:val="•"/>
      <w:lvlJc w:val="left"/>
      <w:pPr>
        <w:tabs>
          <w:tab w:val="num" w:pos="720"/>
        </w:tabs>
        <w:ind w:left="720" w:hanging="360"/>
      </w:pPr>
      <w:rPr>
        <w:rFonts w:ascii="Arial" w:hAnsi="Arial" w:hint="default"/>
      </w:rPr>
    </w:lvl>
    <w:lvl w:ilvl="1" w:tplc="D77677EC" w:tentative="1">
      <w:start w:val="1"/>
      <w:numFmt w:val="bullet"/>
      <w:lvlText w:val="•"/>
      <w:lvlJc w:val="left"/>
      <w:pPr>
        <w:tabs>
          <w:tab w:val="num" w:pos="1440"/>
        </w:tabs>
        <w:ind w:left="1440" w:hanging="360"/>
      </w:pPr>
      <w:rPr>
        <w:rFonts w:ascii="Arial" w:hAnsi="Arial" w:hint="default"/>
      </w:rPr>
    </w:lvl>
    <w:lvl w:ilvl="2" w:tplc="F63C0866" w:tentative="1">
      <w:start w:val="1"/>
      <w:numFmt w:val="bullet"/>
      <w:lvlText w:val="•"/>
      <w:lvlJc w:val="left"/>
      <w:pPr>
        <w:tabs>
          <w:tab w:val="num" w:pos="2160"/>
        </w:tabs>
        <w:ind w:left="2160" w:hanging="360"/>
      </w:pPr>
      <w:rPr>
        <w:rFonts w:ascii="Arial" w:hAnsi="Arial" w:hint="default"/>
      </w:rPr>
    </w:lvl>
    <w:lvl w:ilvl="3" w:tplc="B414DB60" w:tentative="1">
      <w:start w:val="1"/>
      <w:numFmt w:val="bullet"/>
      <w:lvlText w:val="•"/>
      <w:lvlJc w:val="left"/>
      <w:pPr>
        <w:tabs>
          <w:tab w:val="num" w:pos="2880"/>
        </w:tabs>
        <w:ind w:left="2880" w:hanging="360"/>
      </w:pPr>
      <w:rPr>
        <w:rFonts w:ascii="Arial" w:hAnsi="Arial" w:hint="default"/>
      </w:rPr>
    </w:lvl>
    <w:lvl w:ilvl="4" w:tplc="7302790C" w:tentative="1">
      <w:start w:val="1"/>
      <w:numFmt w:val="bullet"/>
      <w:lvlText w:val="•"/>
      <w:lvlJc w:val="left"/>
      <w:pPr>
        <w:tabs>
          <w:tab w:val="num" w:pos="3600"/>
        </w:tabs>
        <w:ind w:left="3600" w:hanging="360"/>
      </w:pPr>
      <w:rPr>
        <w:rFonts w:ascii="Arial" w:hAnsi="Arial" w:hint="default"/>
      </w:rPr>
    </w:lvl>
    <w:lvl w:ilvl="5" w:tplc="380C8060" w:tentative="1">
      <w:start w:val="1"/>
      <w:numFmt w:val="bullet"/>
      <w:lvlText w:val="•"/>
      <w:lvlJc w:val="left"/>
      <w:pPr>
        <w:tabs>
          <w:tab w:val="num" w:pos="4320"/>
        </w:tabs>
        <w:ind w:left="4320" w:hanging="360"/>
      </w:pPr>
      <w:rPr>
        <w:rFonts w:ascii="Arial" w:hAnsi="Arial" w:hint="default"/>
      </w:rPr>
    </w:lvl>
    <w:lvl w:ilvl="6" w:tplc="58C620CC" w:tentative="1">
      <w:start w:val="1"/>
      <w:numFmt w:val="bullet"/>
      <w:lvlText w:val="•"/>
      <w:lvlJc w:val="left"/>
      <w:pPr>
        <w:tabs>
          <w:tab w:val="num" w:pos="5040"/>
        </w:tabs>
        <w:ind w:left="5040" w:hanging="360"/>
      </w:pPr>
      <w:rPr>
        <w:rFonts w:ascii="Arial" w:hAnsi="Arial" w:hint="default"/>
      </w:rPr>
    </w:lvl>
    <w:lvl w:ilvl="7" w:tplc="751C3688" w:tentative="1">
      <w:start w:val="1"/>
      <w:numFmt w:val="bullet"/>
      <w:lvlText w:val="•"/>
      <w:lvlJc w:val="left"/>
      <w:pPr>
        <w:tabs>
          <w:tab w:val="num" w:pos="5760"/>
        </w:tabs>
        <w:ind w:left="5760" w:hanging="360"/>
      </w:pPr>
      <w:rPr>
        <w:rFonts w:ascii="Arial" w:hAnsi="Arial" w:hint="default"/>
      </w:rPr>
    </w:lvl>
    <w:lvl w:ilvl="8" w:tplc="65F6F6BA"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43967F7"/>
    <w:multiLevelType w:val="hybridMultilevel"/>
    <w:tmpl w:val="6A6075D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57AB1050"/>
    <w:multiLevelType w:val="hybridMultilevel"/>
    <w:tmpl w:val="F8BABC8C"/>
    <w:lvl w:ilvl="0" w:tplc="707CA468">
      <w:numFmt w:val="bullet"/>
      <w:lvlText w:val="-"/>
      <w:lvlJc w:val="left"/>
      <w:pPr>
        <w:ind w:left="720" w:hanging="360"/>
      </w:pPr>
      <w:rPr>
        <w:rFonts w:ascii="Calibri" w:eastAsiaTheme="minorEastAsia"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59BF37E3"/>
    <w:multiLevelType w:val="hybridMultilevel"/>
    <w:tmpl w:val="E5DCBAEE"/>
    <w:lvl w:ilvl="0" w:tplc="FFFFFFFF">
      <w:start w:val="1"/>
      <w:numFmt w:val="lowerLetter"/>
      <w:lvlText w:val="%1)"/>
      <w:lvlJc w:val="left"/>
      <w:pPr>
        <w:ind w:left="790" w:hanging="43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A3A3D59"/>
    <w:multiLevelType w:val="hybridMultilevel"/>
    <w:tmpl w:val="8340A93E"/>
    <w:lvl w:ilvl="0" w:tplc="4206600E">
      <w:start w:val="1"/>
      <w:numFmt w:val="decimal"/>
      <w:lvlText w:val="%1."/>
      <w:lvlJc w:val="left"/>
      <w:pPr>
        <w:ind w:left="1418" w:hanging="71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35" w15:restartNumberingAfterBreak="0">
    <w:nsid w:val="64AD0CB7"/>
    <w:multiLevelType w:val="hybridMultilevel"/>
    <w:tmpl w:val="915E26BA"/>
    <w:lvl w:ilvl="0" w:tplc="5DECB3BA">
      <w:start w:val="8"/>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68583468"/>
    <w:multiLevelType w:val="hybridMultilevel"/>
    <w:tmpl w:val="B712E5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9536761"/>
    <w:multiLevelType w:val="hybridMultilevel"/>
    <w:tmpl w:val="0BAC29F6"/>
    <w:lvl w:ilvl="0" w:tplc="0BA65D3A">
      <w:start w:val="1"/>
      <w:numFmt w:val="decimal"/>
      <w:lvlText w:val="%1."/>
      <w:lvlJc w:val="left"/>
      <w:pPr>
        <w:ind w:left="928" w:hanging="360"/>
      </w:pPr>
      <w:rPr>
        <w:rFonts w:hint="default"/>
      </w:rPr>
    </w:lvl>
    <w:lvl w:ilvl="1" w:tplc="041B0019" w:tentative="1">
      <w:start w:val="1"/>
      <w:numFmt w:val="lowerLetter"/>
      <w:lvlText w:val="%2."/>
      <w:lvlJc w:val="left"/>
      <w:pPr>
        <w:ind w:left="1648" w:hanging="360"/>
      </w:pPr>
    </w:lvl>
    <w:lvl w:ilvl="2" w:tplc="041B001B" w:tentative="1">
      <w:start w:val="1"/>
      <w:numFmt w:val="lowerRoman"/>
      <w:lvlText w:val="%3."/>
      <w:lvlJc w:val="right"/>
      <w:pPr>
        <w:ind w:left="2368" w:hanging="180"/>
      </w:pPr>
    </w:lvl>
    <w:lvl w:ilvl="3" w:tplc="041B000F" w:tentative="1">
      <w:start w:val="1"/>
      <w:numFmt w:val="decimal"/>
      <w:lvlText w:val="%4."/>
      <w:lvlJc w:val="left"/>
      <w:pPr>
        <w:ind w:left="3088" w:hanging="360"/>
      </w:pPr>
    </w:lvl>
    <w:lvl w:ilvl="4" w:tplc="041B0019" w:tentative="1">
      <w:start w:val="1"/>
      <w:numFmt w:val="lowerLetter"/>
      <w:lvlText w:val="%5."/>
      <w:lvlJc w:val="left"/>
      <w:pPr>
        <w:ind w:left="3808" w:hanging="360"/>
      </w:pPr>
    </w:lvl>
    <w:lvl w:ilvl="5" w:tplc="041B001B" w:tentative="1">
      <w:start w:val="1"/>
      <w:numFmt w:val="lowerRoman"/>
      <w:lvlText w:val="%6."/>
      <w:lvlJc w:val="right"/>
      <w:pPr>
        <w:ind w:left="4528" w:hanging="180"/>
      </w:pPr>
    </w:lvl>
    <w:lvl w:ilvl="6" w:tplc="041B000F" w:tentative="1">
      <w:start w:val="1"/>
      <w:numFmt w:val="decimal"/>
      <w:lvlText w:val="%7."/>
      <w:lvlJc w:val="left"/>
      <w:pPr>
        <w:ind w:left="5248" w:hanging="360"/>
      </w:pPr>
    </w:lvl>
    <w:lvl w:ilvl="7" w:tplc="041B0019" w:tentative="1">
      <w:start w:val="1"/>
      <w:numFmt w:val="lowerLetter"/>
      <w:lvlText w:val="%8."/>
      <w:lvlJc w:val="left"/>
      <w:pPr>
        <w:ind w:left="5968" w:hanging="360"/>
      </w:pPr>
    </w:lvl>
    <w:lvl w:ilvl="8" w:tplc="041B001B" w:tentative="1">
      <w:start w:val="1"/>
      <w:numFmt w:val="lowerRoman"/>
      <w:lvlText w:val="%9."/>
      <w:lvlJc w:val="right"/>
      <w:pPr>
        <w:ind w:left="6688" w:hanging="180"/>
      </w:pPr>
    </w:lvl>
  </w:abstractNum>
  <w:abstractNum w:abstractNumId="38" w15:restartNumberingAfterBreak="0">
    <w:nsid w:val="6B2D6911"/>
    <w:multiLevelType w:val="hybridMultilevel"/>
    <w:tmpl w:val="0BE6D9F2"/>
    <w:lvl w:ilvl="0" w:tplc="FFFFFFFF">
      <w:start w:val="1"/>
      <w:numFmt w:val="decimal"/>
      <w:lvlText w:val="%1."/>
      <w:lvlJc w:val="left"/>
      <w:pPr>
        <w:ind w:left="108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9" w15:restartNumberingAfterBreak="0">
    <w:nsid w:val="6B556F07"/>
    <w:multiLevelType w:val="hybridMultilevel"/>
    <w:tmpl w:val="83D4DFA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7013472B"/>
    <w:multiLevelType w:val="hybridMultilevel"/>
    <w:tmpl w:val="3E78F794"/>
    <w:lvl w:ilvl="0" w:tplc="5942BE46">
      <w:start w:val="1"/>
      <w:numFmt w:val="lowerLetter"/>
      <w:lvlText w:val="%1)"/>
      <w:lvlJc w:val="left"/>
      <w:pPr>
        <w:ind w:left="790" w:hanging="43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70C92C89"/>
    <w:multiLevelType w:val="hybridMultilevel"/>
    <w:tmpl w:val="5F9C397C"/>
    <w:lvl w:ilvl="0" w:tplc="5942BE46">
      <w:start w:val="1"/>
      <w:numFmt w:val="lowerLetter"/>
      <w:lvlText w:val="%1)"/>
      <w:lvlJc w:val="left"/>
      <w:pPr>
        <w:ind w:left="790" w:hanging="43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739C7B7E"/>
    <w:multiLevelType w:val="hybridMultilevel"/>
    <w:tmpl w:val="418AA052"/>
    <w:lvl w:ilvl="0" w:tplc="707CA468">
      <w:numFmt w:val="bullet"/>
      <w:lvlText w:val="-"/>
      <w:lvlJc w:val="left"/>
      <w:pPr>
        <w:ind w:left="1068" w:hanging="360"/>
      </w:pPr>
      <w:rPr>
        <w:rFonts w:ascii="Calibri" w:eastAsiaTheme="minorEastAsia" w:hAnsi="Calibri" w:cs="Calibri" w:hint="default"/>
      </w:rPr>
    </w:lvl>
    <w:lvl w:ilvl="1" w:tplc="041B0003">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43" w15:restartNumberingAfterBreak="0">
    <w:nsid w:val="73A42DA3"/>
    <w:multiLevelType w:val="hybridMultilevel"/>
    <w:tmpl w:val="1C7AF094"/>
    <w:lvl w:ilvl="0" w:tplc="3CE80BD8">
      <w:start w:val="2"/>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778C0336"/>
    <w:multiLevelType w:val="hybridMultilevel"/>
    <w:tmpl w:val="AFCEE7AE"/>
    <w:lvl w:ilvl="0" w:tplc="B30A0FAC">
      <w:start w:val="1"/>
      <w:numFmt w:val="bullet"/>
      <w:lvlText w:val="•"/>
      <w:lvlJc w:val="left"/>
      <w:pPr>
        <w:tabs>
          <w:tab w:val="num" w:pos="720"/>
        </w:tabs>
        <w:ind w:left="720" w:hanging="360"/>
      </w:pPr>
      <w:rPr>
        <w:rFonts w:ascii="Arial" w:hAnsi="Arial" w:hint="default"/>
      </w:rPr>
    </w:lvl>
    <w:lvl w:ilvl="1" w:tplc="A9469704" w:tentative="1">
      <w:start w:val="1"/>
      <w:numFmt w:val="bullet"/>
      <w:lvlText w:val="•"/>
      <w:lvlJc w:val="left"/>
      <w:pPr>
        <w:tabs>
          <w:tab w:val="num" w:pos="1440"/>
        </w:tabs>
        <w:ind w:left="1440" w:hanging="360"/>
      </w:pPr>
      <w:rPr>
        <w:rFonts w:ascii="Arial" w:hAnsi="Arial" w:hint="default"/>
      </w:rPr>
    </w:lvl>
    <w:lvl w:ilvl="2" w:tplc="02408956" w:tentative="1">
      <w:start w:val="1"/>
      <w:numFmt w:val="bullet"/>
      <w:lvlText w:val="•"/>
      <w:lvlJc w:val="left"/>
      <w:pPr>
        <w:tabs>
          <w:tab w:val="num" w:pos="2160"/>
        </w:tabs>
        <w:ind w:left="2160" w:hanging="360"/>
      </w:pPr>
      <w:rPr>
        <w:rFonts w:ascii="Arial" w:hAnsi="Arial" w:hint="default"/>
      </w:rPr>
    </w:lvl>
    <w:lvl w:ilvl="3" w:tplc="363E307A" w:tentative="1">
      <w:start w:val="1"/>
      <w:numFmt w:val="bullet"/>
      <w:lvlText w:val="•"/>
      <w:lvlJc w:val="left"/>
      <w:pPr>
        <w:tabs>
          <w:tab w:val="num" w:pos="2880"/>
        </w:tabs>
        <w:ind w:left="2880" w:hanging="360"/>
      </w:pPr>
      <w:rPr>
        <w:rFonts w:ascii="Arial" w:hAnsi="Arial" w:hint="default"/>
      </w:rPr>
    </w:lvl>
    <w:lvl w:ilvl="4" w:tplc="24B6E5EC" w:tentative="1">
      <w:start w:val="1"/>
      <w:numFmt w:val="bullet"/>
      <w:lvlText w:val="•"/>
      <w:lvlJc w:val="left"/>
      <w:pPr>
        <w:tabs>
          <w:tab w:val="num" w:pos="3600"/>
        </w:tabs>
        <w:ind w:left="3600" w:hanging="360"/>
      </w:pPr>
      <w:rPr>
        <w:rFonts w:ascii="Arial" w:hAnsi="Arial" w:hint="default"/>
      </w:rPr>
    </w:lvl>
    <w:lvl w:ilvl="5" w:tplc="3768D970" w:tentative="1">
      <w:start w:val="1"/>
      <w:numFmt w:val="bullet"/>
      <w:lvlText w:val="•"/>
      <w:lvlJc w:val="left"/>
      <w:pPr>
        <w:tabs>
          <w:tab w:val="num" w:pos="4320"/>
        </w:tabs>
        <w:ind w:left="4320" w:hanging="360"/>
      </w:pPr>
      <w:rPr>
        <w:rFonts w:ascii="Arial" w:hAnsi="Arial" w:hint="default"/>
      </w:rPr>
    </w:lvl>
    <w:lvl w:ilvl="6" w:tplc="1E8AFF58" w:tentative="1">
      <w:start w:val="1"/>
      <w:numFmt w:val="bullet"/>
      <w:lvlText w:val="•"/>
      <w:lvlJc w:val="left"/>
      <w:pPr>
        <w:tabs>
          <w:tab w:val="num" w:pos="5040"/>
        </w:tabs>
        <w:ind w:left="5040" w:hanging="360"/>
      </w:pPr>
      <w:rPr>
        <w:rFonts w:ascii="Arial" w:hAnsi="Arial" w:hint="default"/>
      </w:rPr>
    </w:lvl>
    <w:lvl w:ilvl="7" w:tplc="8D0EC7AC" w:tentative="1">
      <w:start w:val="1"/>
      <w:numFmt w:val="bullet"/>
      <w:lvlText w:val="•"/>
      <w:lvlJc w:val="left"/>
      <w:pPr>
        <w:tabs>
          <w:tab w:val="num" w:pos="5760"/>
        </w:tabs>
        <w:ind w:left="5760" w:hanging="360"/>
      </w:pPr>
      <w:rPr>
        <w:rFonts w:ascii="Arial" w:hAnsi="Arial" w:hint="default"/>
      </w:rPr>
    </w:lvl>
    <w:lvl w:ilvl="8" w:tplc="AECC3FA8"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77DE4887"/>
    <w:multiLevelType w:val="hybridMultilevel"/>
    <w:tmpl w:val="39C49530"/>
    <w:lvl w:ilvl="0" w:tplc="B91C0ED2">
      <w:start w:val="1"/>
      <w:numFmt w:val="bullet"/>
      <w:lvlText w:val="•"/>
      <w:lvlJc w:val="left"/>
      <w:pPr>
        <w:tabs>
          <w:tab w:val="num" w:pos="720"/>
        </w:tabs>
        <w:ind w:left="720" w:hanging="360"/>
      </w:pPr>
      <w:rPr>
        <w:rFonts w:ascii="Arial" w:hAnsi="Arial" w:hint="default"/>
      </w:rPr>
    </w:lvl>
    <w:lvl w:ilvl="1" w:tplc="DB12B9BE" w:tentative="1">
      <w:start w:val="1"/>
      <w:numFmt w:val="bullet"/>
      <w:lvlText w:val="•"/>
      <w:lvlJc w:val="left"/>
      <w:pPr>
        <w:tabs>
          <w:tab w:val="num" w:pos="1440"/>
        </w:tabs>
        <w:ind w:left="1440" w:hanging="360"/>
      </w:pPr>
      <w:rPr>
        <w:rFonts w:ascii="Arial" w:hAnsi="Arial" w:hint="default"/>
      </w:rPr>
    </w:lvl>
    <w:lvl w:ilvl="2" w:tplc="358ED2A6" w:tentative="1">
      <w:start w:val="1"/>
      <w:numFmt w:val="bullet"/>
      <w:lvlText w:val="•"/>
      <w:lvlJc w:val="left"/>
      <w:pPr>
        <w:tabs>
          <w:tab w:val="num" w:pos="2160"/>
        </w:tabs>
        <w:ind w:left="2160" w:hanging="360"/>
      </w:pPr>
      <w:rPr>
        <w:rFonts w:ascii="Arial" w:hAnsi="Arial" w:hint="default"/>
      </w:rPr>
    </w:lvl>
    <w:lvl w:ilvl="3" w:tplc="B5E82682" w:tentative="1">
      <w:start w:val="1"/>
      <w:numFmt w:val="bullet"/>
      <w:lvlText w:val="•"/>
      <w:lvlJc w:val="left"/>
      <w:pPr>
        <w:tabs>
          <w:tab w:val="num" w:pos="2880"/>
        </w:tabs>
        <w:ind w:left="2880" w:hanging="360"/>
      </w:pPr>
      <w:rPr>
        <w:rFonts w:ascii="Arial" w:hAnsi="Arial" w:hint="default"/>
      </w:rPr>
    </w:lvl>
    <w:lvl w:ilvl="4" w:tplc="B1FA46B0" w:tentative="1">
      <w:start w:val="1"/>
      <w:numFmt w:val="bullet"/>
      <w:lvlText w:val="•"/>
      <w:lvlJc w:val="left"/>
      <w:pPr>
        <w:tabs>
          <w:tab w:val="num" w:pos="3600"/>
        </w:tabs>
        <w:ind w:left="3600" w:hanging="360"/>
      </w:pPr>
      <w:rPr>
        <w:rFonts w:ascii="Arial" w:hAnsi="Arial" w:hint="default"/>
      </w:rPr>
    </w:lvl>
    <w:lvl w:ilvl="5" w:tplc="3E361108" w:tentative="1">
      <w:start w:val="1"/>
      <w:numFmt w:val="bullet"/>
      <w:lvlText w:val="•"/>
      <w:lvlJc w:val="left"/>
      <w:pPr>
        <w:tabs>
          <w:tab w:val="num" w:pos="4320"/>
        </w:tabs>
        <w:ind w:left="4320" w:hanging="360"/>
      </w:pPr>
      <w:rPr>
        <w:rFonts w:ascii="Arial" w:hAnsi="Arial" w:hint="default"/>
      </w:rPr>
    </w:lvl>
    <w:lvl w:ilvl="6" w:tplc="CD6C5B60" w:tentative="1">
      <w:start w:val="1"/>
      <w:numFmt w:val="bullet"/>
      <w:lvlText w:val="•"/>
      <w:lvlJc w:val="left"/>
      <w:pPr>
        <w:tabs>
          <w:tab w:val="num" w:pos="5040"/>
        </w:tabs>
        <w:ind w:left="5040" w:hanging="360"/>
      </w:pPr>
      <w:rPr>
        <w:rFonts w:ascii="Arial" w:hAnsi="Arial" w:hint="default"/>
      </w:rPr>
    </w:lvl>
    <w:lvl w:ilvl="7" w:tplc="0CE0432A" w:tentative="1">
      <w:start w:val="1"/>
      <w:numFmt w:val="bullet"/>
      <w:lvlText w:val="•"/>
      <w:lvlJc w:val="left"/>
      <w:pPr>
        <w:tabs>
          <w:tab w:val="num" w:pos="5760"/>
        </w:tabs>
        <w:ind w:left="5760" w:hanging="360"/>
      </w:pPr>
      <w:rPr>
        <w:rFonts w:ascii="Arial" w:hAnsi="Arial" w:hint="default"/>
      </w:rPr>
    </w:lvl>
    <w:lvl w:ilvl="8" w:tplc="F89C2B76"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42"/>
  </w:num>
  <w:num w:numId="3">
    <w:abstractNumId w:val="22"/>
  </w:num>
  <w:num w:numId="4">
    <w:abstractNumId w:val="14"/>
  </w:num>
  <w:num w:numId="5">
    <w:abstractNumId w:val="32"/>
  </w:num>
  <w:num w:numId="6">
    <w:abstractNumId w:val="3"/>
  </w:num>
  <w:num w:numId="7">
    <w:abstractNumId w:val="43"/>
  </w:num>
  <w:num w:numId="8">
    <w:abstractNumId w:val="8"/>
  </w:num>
  <w:num w:numId="9">
    <w:abstractNumId w:val="37"/>
  </w:num>
  <w:num w:numId="10">
    <w:abstractNumId w:val="39"/>
  </w:num>
  <w:num w:numId="11">
    <w:abstractNumId w:val="11"/>
  </w:num>
  <w:num w:numId="12">
    <w:abstractNumId w:val="24"/>
  </w:num>
  <w:num w:numId="13">
    <w:abstractNumId w:val="40"/>
  </w:num>
  <w:num w:numId="14">
    <w:abstractNumId w:val="41"/>
  </w:num>
  <w:num w:numId="15">
    <w:abstractNumId w:val="4"/>
  </w:num>
  <w:num w:numId="16">
    <w:abstractNumId w:val="21"/>
  </w:num>
  <w:num w:numId="17">
    <w:abstractNumId w:val="34"/>
  </w:num>
  <w:num w:numId="18">
    <w:abstractNumId w:val="9"/>
  </w:num>
  <w:num w:numId="19">
    <w:abstractNumId w:val="7"/>
  </w:num>
  <w:num w:numId="20">
    <w:abstractNumId w:val="33"/>
  </w:num>
  <w:num w:numId="21">
    <w:abstractNumId w:val="31"/>
  </w:num>
  <w:num w:numId="22">
    <w:abstractNumId w:val="27"/>
  </w:num>
  <w:num w:numId="23">
    <w:abstractNumId w:val="25"/>
  </w:num>
  <w:num w:numId="24">
    <w:abstractNumId w:val="35"/>
  </w:num>
  <w:num w:numId="25">
    <w:abstractNumId w:val="23"/>
  </w:num>
  <w:num w:numId="26">
    <w:abstractNumId w:val="18"/>
  </w:num>
  <w:num w:numId="27">
    <w:abstractNumId w:val="19"/>
  </w:num>
  <w:num w:numId="28">
    <w:abstractNumId w:val="17"/>
  </w:num>
  <w:num w:numId="29">
    <w:abstractNumId w:val="26"/>
  </w:num>
  <w:num w:numId="30">
    <w:abstractNumId w:val="13"/>
  </w:num>
  <w:num w:numId="31">
    <w:abstractNumId w:val="30"/>
  </w:num>
  <w:num w:numId="32">
    <w:abstractNumId w:val="15"/>
  </w:num>
  <w:num w:numId="33">
    <w:abstractNumId w:val="20"/>
  </w:num>
  <w:num w:numId="34">
    <w:abstractNumId w:val="29"/>
  </w:num>
  <w:num w:numId="35">
    <w:abstractNumId w:val="45"/>
  </w:num>
  <w:num w:numId="36">
    <w:abstractNumId w:val="44"/>
  </w:num>
  <w:num w:numId="37">
    <w:abstractNumId w:val="16"/>
  </w:num>
  <w:num w:numId="38">
    <w:abstractNumId w:val="0"/>
  </w:num>
  <w:num w:numId="39">
    <w:abstractNumId w:val="1"/>
  </w:num>
  <w:num w:numId="40">
    <w:abstractNumId w:val="2"/>
  </w:num>
  <w:num w:numId="41">
    <w:abstractNumId w:val="38"/>
  </w:num>
  <w:num w:numId="42">
    <w:abstractNumId w:val="6"/>
  </w:num>
  <w:num w:numId="43">
    <w:abstractNumId w:val="10"/>
  </w:num>
  <w:num w:numId="44">
    <w:abstractNumId w:val="36"/>
  </w:num>
  <w:num w:numId="45">
    <w:abstractNumId w:val="28"/>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C88"/>
    <w:rsid w:val="000354BE"/>
    <w:rsid w:val="00037F51"/>
    <w:rsid w:val="00063CA0"/>
    <w:rsid w:val="000657AE"/>
    <w:rsid w:val="00074845"/>
    <w:rsid w:val="000C0DD3"/>
    <w:rsid w:val="000C3E95"/>
    <w:rsid w:val="000C5C9A"/>
    <w:rsid w:val="000C6AE7"/>
    <w:rsid w:val="000D4155"/>
    <w:rsid w:val="000E5BA2"/>
    <w:rsid w:val="001039A1"/>
    <w:rsid w:val="00107209"/>
    <w:rsid w:val="0013283B"/>
    <w:rsid w:val="00144E1E"/>
    <w:rsid w:val="00145C3E"/>
    <w:rsid w:val="001538D6"/>
    <w:rsid w:val="00157439"/>
    <w:rsid w:val="001B1FF8"/>
    <w:rsid w:val="001B23A2"/>
    <w:rsid w:val="001C1802"/>
    <w:rsid w:val="001C355B"/>
    <w:rsid w:val="001E7E7B"/>
    <w:rsid w:val="002036BD"/>
    <w:rsid w:val="002043E6"/>
    <w:rsid w:val="002241A7"/>
    <w:rsid w:val="002567A4"/>
    <w:rsid w:val="002713AE"/>
    <w:rsid w:val="002733C6"/>
    <w:rsid w:val="00286867"/>
    <w:rsid w:val="00293B32"/>
    <w:rsid w:val="002A4651"/>
    <w:rsid w:val="002D4F78"/>
    <w:rsid w:val="002E0946"/>
    <w:rsid w:val="002E5771"/>
    <w:rsid w:val="002E5CA3"/>
    <w:rsid w:val="002F0ADB"/>
    <w:rsid w:val="00302364"/>
    <w:rsid w:val="003300D8"/>
    <w:rsid w:val="00331236"/>
    <w:rsid w:val="003344B0"/>
    <w:rsid w:val="00334D73"/>
    <w:rsid w:val="00336421"/>
    <w:rsid w:val="003428C3"/>
    <w:rsid w:val="00352E72"/>
    <w:rsid w:val="00357D4C"/>
    <w:rsid w:val="00365C5E"/>
    <w:rsid w:val="00367754"/>
    <w:rsid w:val="00384886"/>
    <w:rsid w:val="003905B0"/>
    <w:rsid w:val="003B15F8"/>
    <w:rsid w:val="003B2F82"/>
    <w:rsid w:val="003B6833"/>
    <w:rsid w:val="003D1573"/>
    <w:rsid w:val="003E5274"/>
    <w:rsid w:val="003E5D26"/>
    <w:rsid w:val="003F6971"/>
    <w:rsid w:val="00405E75"/>
    <w:rsid w:val="00423668"/>
    <w:rsid w:val="0043689D"/>
    <w:rsid w:val="00444470"/>
    <w:rsid w:val="0045738D"/>
    <w:rsid w:val="00463DAC"/>
    <w:rsid w:val="004E3C40"/>
    <w:rsid w:val="00567EF0"/>
    <w:rsid w:val="00575540"/>
    <w:rsid w:val="005843E1"/>
    <w:rsid w:val="00585C1A"/>
    <w:rsid w:val="005940D2"/>
    <w:rsid w:val="005A3C8B"/>
    <w:rsid w:val="005B3B88"/>
    <w:rsid w:val="005D2CFC"/>
    <w:rsid w:val="005D73D6"/>
    <w:rsid w:val="005F033A"/>
    <w:rsid w:val="005F7D97"/>
    <w:rsid w:val="006032E7"/>
    <w:rsid w:val="0060799B"/>
    <w:rsid w:val="00623D92"/>
    <w:rsid w:val="006361C4"/>
    <w:rsid w:val="00642A02"/>
    <w:rsid w:val="00651666"/>
    <w:rsid w:val="006627FB"/>
    <w:rsid w:val="006635C5"/>
    <w:rsid w:val="00663746"/>
    <w:rsid w:val="006772A6"/>
    <w:rsid w:val="006A4CDE"/>
    <w:rsid w:val="006D508F"/>
    <w:rsid w:val="006D78A0"/>
    <w:rsid w:val="00705C82"/>
    <w:rsid w:val="00712512"/>
    <w:rsid w:val="0072232E"/>
    <w:rsid w:val="00723943"/>
    <w:rsid w:val="00727F00"/>
    <w:rsid w:val="00727F42"/>
    <w:rsid w:val="00746048"/>
    <w:rsid w:val="0077068A"/>
    <w:rsid w:val="00784C2E"/>
    <w:rsid w:val="00793061"/>
    <w:rsid w:val="007A6039"/>
    <w:rsid w:val="007B264F"/>
    <w:rsid w:val="007D7259"/>
    <w:rsid w:val="007F311B"/>
    <w:rsid w:val="007F3F56"/>
    <w:rsid w:val="00801518"/>
    <w:rsid w:val="00806011"/>
    <w:rsid w:val="008129A9"/>
    <w:rsid w:val="00824BA9"/>
    <w:rsid w:val="008325C9"/>
    <w:rsid w:val="00837675"/>
    <w:rsid w:val="008546CA"/>
    <w:rsid w:val="0089359E"/>
    <w:rsid w:val="008A7E55"/>
    <w:rsid w:val="008B3073"/>
    <w:rsid w:val="008F264A"/>
    <w:rsid w:val="008F5217"/>
    <w:rsid w:val="008F5B91"/>
    <w:rsid w:val="00905BA3"/>
    <w:rsid w:val="00922B55"/>
    <w:rsid w:val="009256F1"/>
    <w:rsid w:val="00927008"/>
    <w:rsid w:val="00936B7B"/>
    <w:rsid w:val="009625C2"/>
    <w:rsid w:val="00965B9D"/>
    <w:rsid w:val="0096686C"/>
    <w:rsid w:val="009715E7"/>
    <w:rsid w:val="00980A7E"/>
    <w:rsid w:val="00980FBE"/>
    <w:rsid w:val="00994183"/>
    <w:rsid w:val="009A6B50"/>
    <w:rsid w:val="009E527B"/>
    <w:rsid w:val="009F63D9"/>
    <w:rsid w:val="00A01BDC"/>
    <w:rsid w:val="00A21ECF"/>
    <w:rsid w:val="00A61439"/>
    <w:rsid w:val="00A84765"/>
    <w:rsid w:val="00A872D4"/>
    <w:rsid w:val="00A918F7"/>
    <w:rsid w:val="00AA4A47"/>
    <w:rsid w:val="00AC7F77"/>
    <w:rsid w:val="00AD5015"/>
    <w:rsid w:val="00AE60C8"/>
    <w:rsid w:val="00B12C3C"/>
    <w:rsid w:val="00B55560"/>
    <w:rsid w:val="00B64E51"/>
    <w:rsid w:val="00B65414"/>
    <w:rsid w:val="00B710A6"/>
    <w:rsid w:val="00B808B1"/>
    <w:rsid w:val="00B9570B"/>
    <w:rsid w:val="00BA2FC4"/>
    <w:rsid w:val="00BA520D"/>
    <w:rsid w:val="00BB26C0"/>
    <w:rsid w:val="00BC7CBC"/>
    <w:rsid w:val="00BD4EBE"/>
    <w:rsid w:val="00BF6655"/>
    <w:rsid w:val="00C0040A"/>
    <w:rsid w:val="00C2149D"/>
    <w:rsid w:val="00C34A31"/>
    <w:rsid w:val="00C372E3"/>
    <w:rsid w:val="00C41508"/>
    <w:rsid w:val="00C6571C"/>
    <w:rsid w:val="00C73DA7"/>
    <w:rsid w:val="00C83767"/>
    <w:rsid w:val="00C83CFE"/>
    <w:rsid w:val="00C906F8"/>
    <w:rsid w:val="00CB5D8A"/>
    <w:rsid w:val="00CD2C88"/>
    <w:rsid w:val="00CE1BEF"/>
    <w:rsid w:val="00CE5302"/>
    <w:rsid w:val="00CF340A"/>
    <w:rsid w:val="00D15041"/>
    <w:rsid w:val="00D6028D"/>
    <w:rsid w:val="00D83A15"/>
    <w:rsid w:val="00DB4FED"/>
    <w:rsid w:val="00DC0EB5"/>
    <w:rsid w:val="00DC4238"/>
    <w:rsid w:val="00DD0B90"/>
    <w:rsid w:val="00E13E88"/>
    <w:rsid w:val="00E16227"/>
    <w:rsid w:val="00E31C37"/>
    <w:rsid w:val="00E4209F"/>
    <w:rsid w:val="00E5267D"/>
    <w:rsid w:val="00E53FC8"/>
    <w:rsid w:val="00E74030"/>
    <w:rsid w:val="00E95E14"/>
    <w:rsid w:val="00E96D20"/>
    <w:rsid w:val="00EB11A0"/>
    <w:rsid w:val="00EB6D39"/>
    <w:rsid w:val="00EC1760"/>
    <w:rsid w:val="00EC54CA"/>
    <w:rsid w:val="00EF7255"/>
    <w:rsid w:val="00EF73E5"/>
    <w:rsid w:val="00F22F9C"/>
    <w:rsid w:val="00F2643B"/>
    <w:rsid w:val="00F663E2"/>
    <w:rsid w:val="00F7377A"/>
    <w:rsid w:val="00F867FF"/>
    <w:rsid w:val="00F91ABB"/>
    <w:rsid w:val="00FD10EF"/>
    <w:rsid w:val="00FE09FE"/>
    <w:rsid w:val="00FF6FD9"/>
    <w:rsid w:val="00FF727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AD3F9"/>
  <w15:chartTrackingRefBased/>
  <w15:docId w15:val="{D00613B8-7C00-4CA1-9FF3-992B14C58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B6D39"/>
  </w:style>
  <w:style w:type="paragraph" w:styleId="Nadpis1">
    <w:name w:val="heading 1"/>
    <w:basedOn w:val="Normlny"/>
    <w:next w:val="Normlny"/>
    <w:link w:val="Nadpis1Char"/>
    <w:uiPriority w:val="9"/>
    <w:qFormat/>
    <w:rsid w:val="00CD2C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CD2C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CD2C8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CD2C8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CD2C88"/>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CD2C8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CD2C88"/>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CD2C88"/>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CD2C88"/>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D2C8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CD2C8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CD2C88"/>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CD2C88"/>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CD2C88"/>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CD2C88"/>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D2C88"/>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D2C88"/>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D2C88"/>
    <w:rPr>
      <w:rFonts w:eastAsiaTheme="majorEastAsia" w:cstheme="majorBidi"/>
      <w:color w:val="272727" w:themeColor="text1" w:themeTint="D8"/>
    </w:rPr>
  </w:style>
  <w:style w:type="paragraph" w:styleId="Nzov">
    <w:name w:val="Title"/>
    <w:basedOn w:val="Normlny"/>
    <w:next w:val="Normlny"/>
    <w:link w:val="NzovChar"/>
    <w:uiPriority w:val="10"/>
    <w:qFormat/>
    <w:rsid w:val="00CD2C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D2C88"/>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D2C88"/>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CD2C88"/>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D2C88"/>
    <w:pPr>
      <w:spacing w:before="160"/>
      <w:jc w:val="center"/>
    </w:pPr>
    <w:rPr>
      <w:i/>
      <w:iCs/>
      <w:color w:val="404040" w:themeColor="text1" w:themeTint="BF"/>
    </w:rPr>
  </w:style>
  <w:style w:type="character" w:customStyle="1" w:styleId="CitciaChar">
    <w:name w:val="Citácia Char"/>
    <w:basedOn w:val="Predvolenpsmoodseku"/>
    <w:link w:val="Citcia"/>
    <w:uiPriority w:val="29"/>
    <w:rsid w:val="00CD2C88"/>
    <w:rPr>
      <w:i/>
      <w:iCs/>
      <w:color w:val="404040" w:themeColor="text1" w:themeTint="BF"/>
    </w:rPr>
  </w:style>
  <w:style w:type="paragraph" w:styleId="Odsekzoznamu">
    <w:name w:val="List Paragraph"/>
    <w:aliases w:val="body,Odsek zoznamu2,Odsek,Odsek zoznamu1,List Paragraph,List Paragraph1,numbered list,OBC Bullet,Normal 1,Task Body,Viñetas (Inicio Parrafo),Paragrafo elenco,3 Txt tabla,Zerrenda-paragrafoa,Fiche List Paragraph,Dot pt,F5 List Paragraph"/>
    <w:basedOn w:val="Normlny"/>
    <w:link w:val="OdsekzoznamuChar"/>
    <w:uiPriority w:val="34"/>
    <w:qFormat/>
    <w:rsid w:val="00CD2C88"/>
    <w:pPr>
      <w:ind w:left="720"/>
      <w:contextualSpacing/>
    </w:pPr>
  </w:style>
  <w:style w:type="character" w:styleId="Intenzvnezvraznenie">
    <w:name w:val="Intense Emphasis"/>
    <w:basedOn w:val="Predvolenpsmoodseku"/>
    <w:uiPriority w:val="21"/>
    <w:qFormat/>
    <w:rsid w:val="00CD2C88"/>
    <w:rPr>
      <w:i/>
      <w:iCs/>
      <w:color w:val="0F4761" w:themeColor="accent1" w:themeShade="BF"/>
    </w:rPr>
  </w:style>
  <w:style w:type="paragraph" w:styleId="Zvraznencitcia">
    <w:name w:val="Intense Quote"/>
    <w:basedOn w:val="Normlny"/>
    <w:next w:val="Normlny"/>
    <w:link w:val="ZvraznencitciaChar"/>
    <w:uiPriority w:val="30"/>
    <w:qFormat/>
    <w:rsid w:val="00CD2C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CD2C88"/>
    <w:rPr>
      <w:i/>
      <w:iCs/>
      <w:color w:val="0F4761" w:themeColor="accent1" w:themeShade="BF"/>
    </w:rPr>
  </w:style>
  <w:style w:type="character" w:styleId="Intenzvnyodkaz">
    <w:name w:val="Intense Reference"/>
    <w:basedOn w:val="Predvolenpsmoodseku"/>
    <w:uiPriority w:val="32"/>
    <w:qFormat/>
    <w:rsid w:val="00CD2C88"/>
    <w:rPr>
      <w:b/>
      <w:bCs/>
      <w:smallCaps/>
      <w:color w:val="0F4761" w:themeColor="accent1" w:themeShade="BF"/>
      <w:spacing w:val="5"/>
    </w:rPr>
  </w:style>
  <w:style w:type="paragraph" w:customStyle="1" w:styleId="p1">
    <w:name w:val="p1"/>
    <w:basedOn w:val="Normlny"/>
    <w:rsid w:val="00384886"/>
    <w:pPr>
      <w:spacing w:after="0" w:line="240" w:lineRule="auto"/>
    </w:pPr>
    <w:rPr>
      <w:rFonts w:ascii=".AppleSystemUIFont" w:eastAsia="Times New Roman" w:hAnsi=".AppleSystemUIFont" w:cs="Times New Roman"/>
      <w:color w:val="0E0E0E"/>
      <w:kern w:val="0"/>
      <w:sz w:val="21"/>
      <w:szCs w:val="21"/>
      <w:lang w:eastAsia="sk-SK"/>
      <w14:ligatures w14:val="none"/>
    </w:rPr>
  </w:style>
  <w:style w:type="paragraph" w:customStyle="1" w:styleId="p3">
    <w:name w:val="p3"/>
    <w:basedOn w:val="Normlny"/>
    <w:rsid w:val="00384886"/>
    <w:pPr>
      <w:spacing w:before="180" w:after="0" w:line="240" w:lineRule="auto"/>
      <w:ind w:left="315" w:hanging="315"/>
    </w:pPr>
    <w:rPr>
      <w:rFonts w:ascii=".AppleSystemUIFont" w:eastAsia="Times New Roman" w:hAnsi=".AppleSystemUIFont" w:cs="Times New Roman"/>
      <w:color w:val="0E0E0E"/>
      <w:kern w:val="0"/>
      <w:sz w:val="21"/>
      <w:szCs w:val="21"/>
      <w:lang w:eastAsia="sk-SK"/>
      <w14:ligatures w14:val="none"/>
    </w:rPr>
  </w:style>
  <w:style w:type="paragraph" w:customStyle="1" w:styleId="p4">
    <w:name w:val="p4"/>
    <w:basedOn w:val="Normlny"/>
    <w:rsid w:val="00384886"/>
    <w:pPr>
      <w:spacing w:before="180" w:after="0" w:line="240" w:lineRule="auto"/>
      <w:ind w:left="495" w:hanging="495"/>
    </w:pPr>
    <w:rPr>
      <w:rFonts w:ascii=".AppleSystemUIFont" w:eastAsia="Times New Roman" w:hAnsi=".AppleSystemUIFont" w:cs="Times New Roman"/>
      <w:color w:val="0E0E0E"/>
      <w:kern w:val="0"/>
      <w:sz w:val="21"/>
      <w:szCs w:val="21"/>
      <w:lang w:eastAsia="sk-SK"/>
      <w14:ligatures w14:val="none"/>
    </w:rPr>
  </w:style>
  <w:style w:type="character" w:styleId="Odkaznakomentr">
    <w:name w:val="annotation reference"/>
    <w:uiPriority w:val="99"/>
    <w:rsid w:val="00965B9D"/>
    <w:rPr>
      <w:sz w:val="16"/>
      <w:szCs w:val="16"/>
    </w:rPr>
  </w:style>
  <w:style w:type="paragraph" w:styleId="Textkomentra">
    <w:name w:val="annotation text"/>
    <w:basedOn w:val="Normlny"/>
    <w:link w:val="TextkomentraChar"/>
    <w:uiPriority w:val="99"/>
    <w:rsid w:val="00965B9D"/>
    <w:pPr>
      <w:spacing w:before="120" w:after="120" w:line="276" w:lineRule="auto"/>
    </w:pPr>
    <w:rPr>
      <w:rFonts w:ascii="Arial Narrow" w:eastAsia="Calibri" w:hAnsi="Arial Narrow" w:cs="Times New Roman"/>
      <w:kern w:val="0"/>
      <w:sz w:val="20"/>
      <w:szCs w:val="20"/>
      <w14:ligatures w14:val="none"/>
    </w:rPr>
  </w:style>
  <w:style w:type="character" w:customStyle="1" w:styleId="TextkomentraChar">
    <w:name w:val="Text komentára Char"/>
    <w:basedOn w:val="Predvolenpsmoodseku"/>
    <w:link w:val="Textkomentra"/>
    <w:uiPriority w:val="99"/>
    <w:rsid w:val="00965B9D"/>
    <w:rPr>
      <w:rFonts w:ascii="Arial Narrow" w:eastAsia="Calibri" w:hAnsi="Arial Narrow" w:cs="Times New Roman"/>
      <w:kern w:val="0"/>
      <w:sz w:val="20"/>
      <w:szCs w:val="20"/>
      <w14:ligatures w14:val="none"/>
    </w:rPr>
  </w:style>
  <w:style w:type="paragraph" w:customStyle="1" w:styleId="TableParagraph">
    <w:name w:val="Table Paragraph"/>
    <w:basedOn w:val="Normlny"/>
    <w:uiPriority w:val="1"/>
    <w:qFormat/>
    <w:rsid w:val="00E74030"/>
    <w:pPr>
      <w:widowControl w:val="0"/>
      <w:autoSpaceDE w:val="0"/>
      <w:autoSpaceDN w:val="0"/>
      <w:spacing w:before="120" w:after="0" w:line="240" w:lineRule="auto"/>
    </w:pPr>
    <w:rPr>
      <w:rFonts w:ascii="Times New Roman" w:eastAsia="Times New Roman" w:hAnsi="Times New Roman" w:cs="Times New Roman"/>
      <w:kern w:val="0"/>
      <w14:ligatures w14:val="none"/>
    </w:rPr>
  </w:style>
  <w:style w:type="paragraph" w:styleId="Hlavika">
    <w:name w:val="header"/>
    <w:basedOn w:val="Normlny"/>
    <w:link w:val="HlavikaChar"/>
    <w:uiPriority w:val="99"/>
    <w:unhideWhenUsed/>
    <w:rsid w:val="00C0040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0040A"/>
  </w:style>
  <w:style w:type="paragraph" w:styleId="Pta">
    <w:name w:val="footer"/>
    <w:basedOn w:val="Normlny"/>
    <w:link w:val="PtaChar"/>
    <w:uiPriority w:val="99"/>
    <w:unhideWhenUsed/>
    <w:rsid w:val="00C0040A"/>
    <w:pPr>
      <w:tabs>
        <w:tab w:val="center" w:pos="4536"/>
        <w:tab w:val="right" w:pos="9072"/>
      </w:tabs>
      <w:spacing w:after="0" w:line="240" w:lineRule="auto"/>
    </w:pPr>
  </w:style>
  <w:style w:type="character" w:customStyle="1" w:styleId="PtaChar">
    <w:name w:val="Päta Char"/>
    <w:basedOn w:val="Predvolenpsmoodseku"/>
    <w:link w:val="Pta"/>
    <w:uiPriority w:val="99"/>
    <w:rsid w:val="00C0040A"/>
  </w:style>
  <w:style w:type="paragraph" w:styleId="Revzia">
    <w:name w:val="Revision"/>
    <w:hidden/>
    <w:uiPriority w:val="99"/>
    <w:semiHidden/>
    <w:rsid w:val="006A4CDE"/>
    <w:pPr>
      <w:spacing w:after="0" w:line="240" w:lineRule="auto"/>
    </w:pPr>
  </w:style>
  <w:style w:type="character" w:customStyle="1" w:styleId="cf01">
    <w:name w:val="cf01"/>
    <w:basedOn w:val="Predvolenpsmoodseku"/>
    <w:rsid w:val="002036BD"/>
    <w:rPr>
      <w:rFonts w:ascii="Segoe UI" w:hAnsi="Segoe UI" w:cs="Segoe UI" w:hint="default"/>
      <w:sz w:val="18"/>
      <w:szCs w:val="18"/>
    </w:rPr>
  </w:style>
  <w:style w:type="paragraph" w:styleId="Textpoznmkypodiarou">
    <w:name w:val="footnote text"/>
    <w:basedOn w:val="Normlny"/>
    <w:link w:val="TextpoznmkypodiarouChar"/>
    <w:uiPriority w:val="99"/>
    <w:semiHidden/>
    <w:unhideWhenUsed/>
    <w:rsid w:val="002036BD"/>
    <w:pPr>
      <w:spacing w:after="0" w:line="240" w:lineRule="auto"/>
    </w:pPr>
    <w:rPr>
      <w:rFonts w:ascii="Calibri" w:eastAsia="Calibri" w:hAnsi="Calibri" w:cs="Times New Roman"/>
      <w:kern w:val="0"/>
      <w:sz w:val="20"/>
      <w:szCs w:val="20"/>
      <w14:ligatures w14:val="none"/>
    </w:rPr>
  </w:style>
  <w:style w:type="character" w:customStyle="1" w:styleId="TextpoznmkypodiarouChar">
    <w:name w:val="Text poznámky pod čiarou Char"/>
    <w:basedOn w:val="Predvolenpsmoodseku"/>
    <w:link w:val="Textpoznmkypodiarou"/>
    <w:uiPriority w:val="99"/>
    <w:semiHidden/>
    <w:rsid w:val="002036BD"/>
    <w:rPr>
      <w:rFonts w:ascii="Calibri" w:eastAsia="Calibri" w:hAnsi="Calibri" w:cs="Times New Roman"/>
      <w:kern w:val="0"/>
      <w:sz w:val="20"/>
      <w:szCs w:val="20"/>
      <w14:ligatures w14:val="none"/>
    </w:rPr>
  </w:style>
  <w:style w:type="character" w:styleId="Odkaznapoznmkupodiarou">
    <w:name w:val="footnote reference"/>
    <w:basedOn w:val="Predvolenpsmoodseku"/>
    <w:uiPriority w:val="99"/>
    <w:semiHidden/>
    <w:unhideWhenUsed/>
    <w:rsid w:val="002036BD"/>
    <w:rPr>
      <w:vertAlign w:val="superscript"/>
    </w:rPr>
  </w:style>
  <w:style w:type="table" w:styleId="Mriekatabuky">
    <w:name w:val="Table Grid"/>
    <w:basedOn w:val="Normlnatabuka"/>
    <w:uiPriority w:val="39"/>
    <w:rsid w:val="00584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byajntabuka1">
    <w:name w:val="Plain Table 1"/>
    <w:basedOn w:val="Normlnatabuka"/>
    <w:uiPriority w:val="41"/>
    <w:rsid w:val="005843E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redmetkomentra">
    <w:name w:val="annotation subject"/>
    <w:basedOn w:val="Textkomentra"/>
    <w:next w:val="Textkomentra"/>
    <w:link w:val="PredmetkomentraChar"/>
    <w:uiPriority w:val="99"/>
    <w:semiHidden/>
    <w:unhideWhenUsed/>
    <w:rsid w:val="005843E1"/>
    <w:pPr>
      <w:spacing w:before="0" w:after="160" w:line="240" w:lineRule="auto"/>
    </w:pPr>
    <w:rPr>
      <w:rFonts w:asciiTheme="minorHAnsi" w:eastAsiaTheme="minorHAnsi" w:hAnsiTheme="minorHAnsi" w:cstheme="minorBidi"/>
      <w:b/>
      <w:bCs/>
      <w:kern w:val="2"/>
      <w14:ligatures w14:val="standardContextual"/>
    </w:rPr>
  </w:style>
  <w:style w:type="character" w:customStyle="1" w:styleId="PredmetkomentraChar">
    <w:name w:val="Predmet komentára Char"/>
    <w:basedOn w:val="TextkomentraChar"/>
    <w:link w:val="Predmetkomentra"/>
    <w:uiPriority w:val="99"/>
    <w:semiHidden/>
    <w:rsid w:val="005843E1"/>
    <w:rPr>
      <w:rFonts w:ascii="Arial Narrow" w:eastAsia="Calibri" w:hAnsi="Arial Narrow" w:cs="Times New Roman"/>
      <w:b/>
      <w:bCs/>
      <w:kern w:val="0"/>
      <w:sz w:val="20"/>
      <w:szCs w:val="20"/>
      <w14:ligatures w14:val="none"/>
    </w:rPr>
  </w:style>
  <w:style w:type="character" w:customStyle="1" w:styleId="OdsekzoznamuChar">
    <w:name w:val="Odsek zoznamu Char"/>
    <w:aliases w:val="body Char,Odsek zoznamu2 Char,Odsek Char,Odsek zoznamu1 Char,List Paragraph Char,List Paragraph1 Char,numbered list Char,OBC Bullet Char,Normal 1 Char,Task Body Char,Viñetas (Inicio Parrafo) Char,Paragrafo elenco Char,3 Txt tabla Char"/>
    <w:link w:val="Odsekzoznamu"/>
    <w:uiPriority w:val="34"/>
    <w:qFormat/>
    <w:locked/>
    <w:rsid w:val="00A21ECF"/>
  </w:style>
  <w:style w:type="paragraph" w:styleId="Zoznamsodrkami">
    <w:name w:val="List Bullet"/>
    <w:basedOn w:val="Normlny"/>
    <w:autoRedefine/>
    <w:semiHidden/>
    <w:rsid w:val="001C355B"/>
    <w:pPr>
      <w:numPr>
        <w:numId w:val="38"/>
      </w:numPr>
      <w:spacing w:before="120" w:after="0" w:line="240" w:lineRule="auto"/>
    </w:pPr>
    <w:rPr>
      <w:rFonts w:ascii="Times New Roman" w:eastAsia="Times New Roman" w:hAnsi="Times New Roman" w:cs="Times New Roman"/>
      <w:kern w:val="0"/>
      <w:sz w:val="20"/>
      <w:szCs w:val="20"/>
      <w:lang w:eastAsia="sk-SK"/>
      <w14:ligatures w14:val="none"/>
    </w:rPr>
  </w:style>
  <w:style w:type="paragraph" w:styleId="Zkladntext">
    <w:name w:val="Body Text"/>
    <w:basedOn w:val="Normlny"/>
    <w:link w:val="ZkladntextChar"/>
    <w:uiPriority w:val="1"/>
    <w:qFormat/>
    <w:rsid w:val="001C355B"/>
    <w:pPr>
      <w:spacing w:before="120" w:after="0" w:line="240" w:lineRule="auto"/>
    </w:pPr>
    <w:rPr>
      <w:rFonts w:ascii="Times New Roman" w:eastAsia="Times New Roman" w:hAnsi="Times New Roman" w:cs="Times New Roman"/>
      <w:b/>
      <w:kern w:val="0"/>
      <w:sz w:val="24"/>
      <w:szCs w:val="20"/>
      <w:lang w:eastAsia="sk-SK"/>
      <w14:ligatures w14:val="none"/>
    </w:rPr>
  </w:style>
  <w:style w:type="character" w:customStyle="1" w:styleId="ZkladntextChar">
    <w:name w:val="Základný text Char"/>
    <w:basedOn w:val="Predvolenpsmoodseku"/>
    <w:link w:val="Zkladntext"/>
    <w:uiPriority w:val="1"/>
    <w:rsid w:val="001C355B"/>
    <w:rPr>
      <w:rFonts w:ascii="Times New Roman" w:eastAsia="Times New Roman" w:hAnsi="Times New Roman" w:cs="Times New Roman"/>
      <w:b/>
      <w:kern w:val="0"/>
      <w:sz w:val="24"/>
      <w:szCs w:val="20"/>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20575">
      <w:bodyDiv w:val="1"/>
      <w:marLeft w:val="0"/>
      <w:marRight w:val="0"/>
      <w:marTop w:val="0"/>
      <w:marBottom w:val="0"/>
      <w:divBdr>
        <w:top w:val="none" w:sz="0" w:space="0" w:color="auto"/>
        <w:left w:val="none" w:sz="0" w:space="0" w:color="auto"/>
        <w:bottom w:val="none" w:sz="0" w:space="0" w:color="auto"/>
        <w:right w:val="none" w:sz="0" w:space="0" w:color="auto"/>
      </w:divBdr>
    </w:div>
    <w:div w:id="113906622">
      <w:bodyDiv w:val="1"/>
      <w:marLeft w:val="0"/>
      <w:marRight w:val="0"/>
      <w:marTop w:val="0"/>
      <w:marBottom w:val="0"/>
      <w:divBdr>
        <w:top w:val="none" w:sz="0" w:space="0" w:color="auto"/>
        <w:left w:val="none" w:sz="0" w:space="0" w:color="auto"/>
        <w:bottom w:val="none" w:sz="0" w:space="0" w:color="auto"/>
        <w:right w:val="none" w:sz="0" w:space="0" w:color="auto"/>
      </w:divBdr>
    </w:div>
    <w:div w:id="235867718">
      <w:bodyDiv w:val="1"/>
      <w:marLeft w:val="0"/>
      <w:marRight w:val="0"/>
      <w:marTop w:val="0"/>
      <w:marBottom w:val="0"/>
      <w:divBdr>
        <w:top w:val="none" w:sz="0" w:space="0" w:color="auto"/>
        <w:left w:val="none" w:sz="0" w:space="0" w:color="auto"/>
        <w:bottom w:val="none" w:sz="0" w:space="0" w:color="auto"/>
        <w:right w:val="none" w:sz="0" w:space="0" w:color="auto"/>
      </w:divBdr>
    </w:div>
    <w:div w:id="317151479">
      <w:bodyDiv w:val="1"/>
      <w:marLeft w:val="0"/>
      <w:marRight w:val="0"/>
      <w:marTop w:val="0"/>
      <w:marBottom w:val="0"/>
      <w:divBdr>
        <w:top w:val="none" w:sz="0" w:space="0" w:color="auto"/>
        <w:left w:val="none" w:sz="0" w:space="0" w:color="auto"/>
        <w:bottom w:val="none" w:sz="0" w:space="0" w:color="auto"/>
        <w:right w:val="none" w:sz="0" w:space="0" w:color="auto"/>
      </w:divBdr>
    </w:div>
    <w:div w:id="335694830">
      <w:bodyDiv w:val="1"/>
      <w:marLeft w:val="0"/>
      <w:marRight w:val="0"/>
      <w:marTop w:val="0"/>
      <w:marBottom w:val="0"/>
      <w:divBdr>
        <w:top w:val="none" w:sz="0" w:space="0" w:color="auto"/>
        <w:left w:val="none" w:sz="0" w:space="0" w:color="auto"/>
        <w:bottom w:val="none" w:sz="0" w:space="0" w:color="auto"/>
        <w:right w:val="none" w:sz="0" w:space="0" w:color="auto"/>
      </w:divBdr>
    </w:div>
    <w:div w:id="389305536">
      <w:bodyDiv w:val="1"/>
      <w:marLeft w:val="0"/>
      <w:marRight w:val="0"/>
      <w:marTop w:val="0"/>
      <w:marBottom w:val="0"/>
      <w:divBdr>
        <w:top w:val="none" w:sz="0" w:space="0" w:color="auto"/>
        <w:left w:val="none" w:sz="0" w:space="0" w:color="auto"/>
        <w:bottom w:val="none" w:sz="0" w:space="0" w:color="auto"/>
        <w:right w:val="none" w:sz="0" w:space="0" w:color="auto"/>
      </w:divBdr>
    </w:div>
    <w:div w:id="399327022">
      <w:bodyDiv w:val="1"/>
      <w:marLeft w:val="0"/>
      <w:marRight w:val="0"/>
      <w:marTop w:val="0"/>
      <w:marBottom w:val="0"/>
      <w:divBdr>
        <w:top w:val="none" w:sz="0" w:space="0" w:color="auto"/>
        <w:left w:val="none" w:sz="0" w:space="0" w:color="auto"/>
        <w:bottom w:val="none" w:sz="0" w:space="0" w:color="auto"/>
        <w:right w:val="none" w:sz="0" w:space="0" w:color="auto"/>
      </w:divBdr>
    </w:div>
    <w:div w:id="401827747">
      <w:bodyDiv w:val="1"/>
      <w:marLeft w:val="0"/>
      <w:marRight w:val="0"/>
      <w:marTop w:val="0"/>
      <w:marBottom w:val="0"/>
      <w:divBdr>
        <w:top w:val="none" w:sz="0" w:space="0" w:color="auto"/>
        <w:left w:val="none" w:sz="0" w:space="0" w:color="auto"/>
        <w:bottom w:val="none" w:sz="0" w:space="0" w:color="auto"/>
        <w:right w:val="none" w:sz="0" w:space="0" w:color="auto"/>
      </w:divBdr>
    </w:div>
    <w:div w:id="440077004">
      <w:bodyDiv w:val="1"/>
      <w:marLeft w:val="0"/>
      <w:marRight w:val="0"/>
      <w:marTop w:val="0"/>
      <w:marBottom w:val="0"/>
      <w:divBdr>
        <w:top w:val="none" w:sz="0" w:space="0" w:color="auto"/>
        <w:left w:val="none" w:sz="0" w:space="0" w:color="auto"/>
        <w:bottom w:val="none" w:sz="0" w:space="0" w:color="auto"/>
        <w:right w:val="none" w:sz="0" w:space="0" w:color="auto"/>
      </w:divBdr>
    </w:div>
    <w:div w:id="467673867">
      <w:bodyDiv w:val="1"/>
      <w:marLeft w:val="0"/>
      <w:marRight w:val="0"/>
      <w:marTop w:val="0"/>
      <w:marBottom w:val="0"/>
      <w:divBdr>
        <w:top w:val="none" w:sz="0" w:space="0" w:color="auto"/>
        <w:left w:val="none" w:sz="0" w:space="0" w:color="auto"/>
        <w:bottom w:val="none" w:sz="0" w:space="0" w:color="auto"/>
        <w:right w:val="none" w:sz="0" w:space="0" w:color="auto"/>
      </w:divBdr>
    </w:div>
    <w:div w:id="607585397">
      <w:bodyDiv w:val="1"/>
      <w:marLeft w:val="0"/>
      <w:marRight w:val="0"/>
      <w:marTop w:val="0"/>
      <w:marBottom w:val="0"/>
      <w:divBdr>
        <w:top w:val="none" w:sz="0" w:space="0" w:color="auto"/>
        <w:left w:val="none" w:sz="0" w:space="0" w:color="auto"/>
        <w:bottom w:val="none" w:sz="0" w:space="0" w:color="auto"/>
        <w:right w:val="none" w:sz="0" w:space="0" w:color="auto"/>
      </w:divBdr>
      <w:divsChild>
        <w:div w:id="1360542873">
          <w:marLeft w:val="274"/>
          <w:marRight w:val="0"/>
          <w:marTop w:val="0"/>
          <w:marBottom w:val="0"/>
          <w:divBdr>
            <w:top w:val="none" w:sz="0" w:space="0" w:color="auto"/>
            <w:left w:val="none" w:sz="0" w:space="0" w:color="auto"/>
            <w:bottom w:val="none" w:sz="0" w:space="0" w:color="auto"/>
            <w:right w:val="none" w:sz="0" w:space="0" w:color="auto"/>
          </w:divBdr>
        </w:div>
        <w:div w:id="751006795">
          <w:marLeft w:val="446"/>
          <w:marRight w:val="0"/>
          <w:marTop w:val="0"/>
          <w:marBottom w:val="0"/>
          <w:divBdr>
            <w:top w:val="none" w:sz="0" w:space="0" w:color="auto"/>
            <w:left w:val="none" w:sz="0" w:space="0" w:color="auto"/>
            <w:bottom w:val="none" w:sz="0" w:space="0" w:color="auto"/>
            <w:right w:val="none" w:sz="0" w:space="0" w:color="auto"/>
          </w:divBdr>
        </w:div>
        <w:div w:id="1245606591">
          <w:marLeft w:val="446"/>
          <w:marRight w:val="0"/>
          <w:marTop w:val="0"/>
          <w:marBottom w:val="0"/>
          <w:divBdr>
            <w:top w:val="none" w:sz="0" w:space="0" w:color="auto"/>
            <w:left w:val="none" w:sz="0" w:space="0" w:color="auto"/>
            <w:bottom w:val="none" w:sz="0" w:space="0" w:color="auto"/>
            <w:right w:val="none" w:sz="0" w:space="0" w:color="auto"/>
          </w:divBdr>
        </w:div>
        <w:div w:id="199904122">
          <w:marLeft w:val="446"/>
          <w:marRight w:val="0"/>
          <w:marTop w:val="0"/>
          <w:marBottom w:val="0"/>
          <w:divBdr>
            <w:top w:val="none" w:sz="0" w:space="0" w:color="auto"/>
            <w:left w:val="none" w:sz="0" w:space="0" w:color="auto"/>
            <w:bottom w:val="none" w:sz="0" w:space="0" w:color="auto"/>
            <w:right w:val="none" w:sz="0" w:space="0" w:color="auto"/>
          </w:divBdr>
        </w:div>
        <w:div w:id="1435053320">
          <w:marLeft w:val="446"/>
          <w:marRight w:val="0"/>
          <w:marTop w:val="0"/>
          <w:marBottom w:val="0"/>
          <w:divBdr>
            <w:top w:val="none" w:sz="0" w:space="0" w:color="auto"/>
            <w:left w:val="none" w:sz="0" w:space="0" w:color="auto"/>
            <w:bottom w:val="none" w:sz="0" w:space="0" w:color="auto"/>
            <w:right w:val="none" w:sz="0" w:space="0" w:color="auto"/>
          </w:divBdr>
        </w:div>
      </w:divsChild>
    </w:div>
    <w:div w:id="618876582">
      <w:bodyDiv w:val="1"/>
      <w:marLeft w:val="0"/>
      <w:marRight w:val="0"/>
      <w:marTop w:val="0"/>
      <w:marBottom w:val="0"/>
      <w:divBdr>
        <w:top w:val="none" w:sz="0" w:space="0" w:color="auto"/>
        <w:left w:val="none" w:sz="0" w:space="0" w:color="auto"/>
        <w:bottom w:val="none" w:sz="0" w:space="0" w:color="auto"/>
        <w:right w:val="none" w:sz="0" w:space="0" w:color="auto"/>
      </w:divBdr>
    </w:div>
    <w:div w:id="624896954">
      <w:bodyDiv w:val="1"/>
      <w:marLeft w:val="0"/>
      <w:marRight w:val="0"/>
      <w:marTop w:val="0"/>
      <w:marBottom w:val="0"/>
      <w:divBdr>
        <w:top w:val="none" w:sz="0" w:space="0" w:color="auto"/>
        <w:left w:val="none" w:sz="0" w:space="0" w:color="auto"/>
        <w:bottom w:val="none" w:sz="0" w:space="0" w:color="auto"/>
        <w:right w:val="none" w:sz="0" w:space="0" w:color="auto"/>
      </w:divBdr>
    </w:div>
    <w:div w:id="752166699">
      <w:bodyDiv w:val="1"/>
      <w:marLeft w:val="0"/>
      <w:marRight w:val="0"/>
      <w:marTop w:val="0"/>
      <w:marBottom w:val="0"/>
      <w:divBdr>
        <w:top w:val="none" w:sz="0" w:space="0" w:color="auto"/>
        <w:left w:val="none" w:sz="0" w:space="0" w:color="auto"/>
        <w:bottom w:val="none" w:sz="0" w:space="0" w:color="auto"/>
        <w:right w:val="none" w:sz="0" w:space="0" w:color="auto"/>
      </w:divBdr>
      <w:divsChild>
        <w:div w:id="901527716">
          <w:marLeft w:val="274"/>
          <w:marRight w:val="0"/>
          <w:marTop w:val="0"/>
          <w:marBottom w:val="0"/>
          <w:divBdr>
            <w:top w:val="none" w:sz="0" w:space="0" w:color="auto"/>
            <w:left w:val="none" w:sz="0" w:space="0" w:color="auto"/>
            <w:bottom w:val="none" w:sz="0" w:space="0" w:color="auto"/>
            <w:right w:val="none" w:sz="0" w:space="0" w:color="auto"/>
          </w:divBdr>
        </w:div>
        <w:div w:id="359819995">
          <w:marLeft w:val="274"/>
          <w:marRight w:val="0"/>
          <w:marTop w:val="0"/>
          <w:marBottom w:val="0"/>
          <w:divBdr>
            <w:top w:val="none" w:sz="0" w:space="0" w:color="auto"/>
            <w:left w:val="none" w:sz="0" w:space="0" w:color="auto"/>
            <w:bottom w:val="none" w:sz="0" w:space="0" w:color="auto"/>
            <w:right w:val="none" w:sz="0" w:space="0" w:color="auto"/>
          </w:divBdr>
        </w:div>
        <w:div w:id="289481480">
          <w:marLeft w:val="274"/>
          <w:marRight w:val="0"/>
          <w:marTop w:val="0"/>
          <w:marBottom w:val="0"/>
          <w:divBdr>
            <w:top w:val="none" w:sz="0" w:space="0" w:color="auto"/>
            <w:left w:val="none" w:sz="0" w:space="0" w:color="auto"/>
            <w:bottom w:val="none" w:sz="0" w:space="0" w:color="auto"/>
            <w:right w:val="none" w:sz="0" w:space="0" w:color="auto"/>
          </w:divBdr>
        </w:div>
        <w:div w:id="704791619">
          <w:marLeft w:val="274"/>
          <w:marRight w:val="0"/>
          <w:marTop w:val="0"/>
          <w:marBottom w:val="0"/>
          <w:divBdr>
            <w:top w:val="none" w:sz="0" w:space="0" w:color="auto"/>
            <w:left w:val="none" w:sz="0" w:space="0" w:color="auto"/>
            <w:bottom w:val="none" w:sz="0" w:space="0" w:color="auto"/>
            <w:right w:val="none" w:sz="0" w:space="0" w:color="auto"/>
          </w:divBdr>
        </w:div>
        <w:div w:id="332758463">
          <w:marLeft w:val="274"/>
          <w:marRight w:val="0"/>
          <w:marTop w:val="0"/>
          <w:marBottom w:val="0"/>
          <w:divBdr>
            <w:top w:val="none" w:sz="0" w:space="0" w:color="auto"/>
            <w:left w:val="none" w:sz="0" w:space="0" w:color="auto"/>
            <w:bottom w:val="none" w:sz="0" w:space="0" w:color="auto"/>
            <w:right w:val="none" w:sz="0" w:space="0" w:color="auto"/>
          </w:divBdr>
        </w:div>
      </w:divsChild>
    </w:div>
    <w:div w:id="934283805">
      <w:bodyDiv w:val="1"/>
      <w:marLeft w:val="0"/>
      <w:marRight w:val="0"/>
      <w:marTop w:val="0"/>
      <w:marBottom w:val="0"/>
      <w:divBdr>
        <w:top w:val="none" w:sz="0" w:space="0" w:color="auto"/>
        <w:left w:val="none" w:sz="0" w:space="0" w:color="auto"/>
        <w:bottom w:val="none" w:sz="0" w:space="0" w:color="auto"/>
        <w:right w:val="none" w:sz="0" w:space="0" w:color="auto"/>
      </w:divBdr>
    </w:div>
    <w:div w:id="1034884349">
      <w:bodyDiv w:val="1"/>
      <w:marLeft w:val="0"/>
      <w:marRight w:val="0"/>
      <w:marTop w:val="0"/>
      <w:marBottom w:val="0"/>
      <w:divBdr>
        <w:top w:val="none" w:sz="0" w:space="0" w:color="auto"/>
        <w:left w:val="none" w:sz="0" w:space="0" w:color="auto"/>
        <w:bottom w:val="none" w:sz="0" w:space="0" w:color="auto"/>
        <w:right w:val="none" w:sz="0" w:space="0" w:color="auto"/>
      </w:divBdr>
    </w:div>
    <w:div w:id="1046444830">
      <w:bodyDiv w:val="1"/>
      <w:marLeft w:val="0"/>
      <w:marRight w:val="0"/>
      <w:marTop w:val="0"/>
      <w:marBottom w:val="0"/>
      <w:divBdr>
        <w:top w:val="none" w:sz="0" w:space="0" w:color="auto"/>
        <w:left w:val="none" w:sz="0" w:space="0" w:color="auto"/>
        <w:bottom w:val="none" w:sz="0" w:space="0" w:color="auto"/>
        <w:right w:val="none" w:sz="0" w:space="0" w:color="auto"/>
      </w:divBdr>
    </w:div>
    <w:div w:id="1180974722">
      <w:bodyDiv w:val="1"/>
      <w:marLeft w:val="0"/>
      <w:marRight w:val="0"/>
      <w:marTop w:val="0"/>
      <w:marBottom w:val="0"/>
      <w:divBdr>
        <w:top w:val="none" w:sz="0" w:space="0" w:color="auto"/>
        <w:left w:val="none" w:sz="0" w:space="0" w:color="auto"/>
        <w:bottom w:val="none" w:sz="0" w:space="0" w:color="auto"/>
        <w:right w:val="none" w:sz="0" w:space="0" w:color="auto"/>
      </w:divBdr>
    </w:div>
    <w:div w:id="1186211962">
      <w:bodyDiv w:val="1"/>
      <w:marLeft w:val="0"/>
      <w:marRight w:val="0"/>
      <w:marTop w:val="0"/>
      <w:marBottom w:val="0"/>
      <w:divBdr>
        <w:top w:val="none" w:sz="0" w:space="0" w:color="auto"/>
        <w:left w:val="none" w:sz="0" w:space="0" w:color="auto"/>
        <w:bottom w:val="none" w:sz="0" w:space="0" w:color="auto"/>
        <w:right w:val="none" w:sz="0" w:space="0" w:color="auto"/>
      </w:divBdr>
    </w:div>
    <w:div w:id="1199902422">
      <w:bodyDiv w:val="1"/>
      <w:marLeft w:val="0"/>
      <w:marRight w:val="0"/>
      <w:marTop w:val="0"/>
      <w:marBottom w:val="0"/>
      <w:divBdr>
        <w:top w:val="none" w:sz="0" w:space="0" w:color="auto"/>
        <w:left w:val="none" w:sz="0" w:space="0" w:color="auto"/>
        <w:bottom w:val="none" w:sz="0" w:space="0" w:color="auto"/>
        <w:right w:val="none" w:sz="0" w:space="0" w:color="auto"/>
      </w:divBdr>
    </w:div>
    <w:div w:id="1250692942">
      <w:bodyDiv w:val="1"/>
      <w:marLeft w:val="0"/>
      <w:marRight w:val="0"/>
      <w:marTop w:val="0"/>
      <w:marBottom w:val="0"/>
      <w:divBdr>
        <w:top w:val="none" w:sz="0" w:space="0" w:color="auto"/>
        <w:left w:val="none" w:sz="0" w:space="0" w:color="auto"/>
        <w:bottom w:val="none" w:sz="0" w:space="0" w:color="auto"/>
        <w:right w:val="none" w:sz="0" w:space="0" w:color="auto"/>
      </w:divBdr>
    </w:div>
    <w:div w:id="1456020582">
      <w:bodyDiv w:val="1"/>
      <w:marLeft w:val="0"/>
      <w:marRight w:val="0"/>
      <w:marTop w:val="0"/>
      <w:marBottom w:val="0"/>
      <w:divBdr>
        <w:top w:val="none" w:sz="0" w:space="0" w:color="auto"/>
        <w:left w:val="none" w:sz="0" w:space="0" w:color="auto"/>
        <w:bottom w:val="none" w:sz="0" w:space="0" w:color="auto"/>
        <w:right w:val="none" w:sz="0" w:space="0" w:color="auto"/>
      </w:divBdr>
    </w:div>
    <w:div w:id="1468623640">
      <w:bodyDiv w:val="1"/>
      <w:marLeft w:val="0"/>
      <w:marRight w:val="0"/>
      <w:marTop w:val="0"/>
      <w:marBottom w:val="0"/>
      <w:divBdr>
        <w:top w:val="none" w:sz="0" w:space="0" w:color="auto"/>
        <w:left w:val="none" w:sz="0" w:space="0" w:color="auto"/>
        <w:bottom w:val="none" w:sz="0" w:space="0" w:color="auto"/>
        <w:right w:val="none" w:sz="0" w:space="0" w:color="auto"/>
      </w:divBdr>
    </w:div>
    <w:div w:id="1473134083">
      <w:bodyDiv w:val="1"/>
      <w:marLeft w:val="0"/>
      <w:marRight w:val="0"/>
      <w:marTop w:val="0"/>
      <w:marBottom w:val="0"/>
      <w:divBdr>
        <w:top w:val="none" w:sz="0" w:space="0" w:color="auto"/>
        <w:left w:val="none" w:sz="0" w:space="0" w:color="auto"/>
        <w:bottom w:val="none" w:sz="0" w:space="0" w:color="auto"/>
        <w:right w:val="none" w:sz="0" w:space="0" w:color="auto"/>
      </w:divBdr>
    </w:div>
    <w:div w:id="1534489820">
      <w:bodyDiv w:val="1"/>
      <w:marLeft w:val="0"/>
      <w:marRight w:val="0"/>
      <w:marTop w:val="0"/>
      <w:marBottom w:val="0"/>
      <w:divBdr>
        <w:top w:val="none" w:sz="0" w:space="0" w:color="auto"/>
        <w:left w:val="none" w:sz="0" w:space="0" w:color="auto"/>
        <w:bottom w:val="none" w:sz="0" w:space="0" w:color="auto"/>
        <w:right w:val="none" w:sz="0" w:space="0" w:color="auto"/>
      </w:divBdr>
    </w:div>
    <w:div w:id="1634368160">
      <w:bodyDiv w:val="1"/>
      <w:marLeft w:val="0"/>
      <w:marRight w:val="0"/>
      <w:marTop w:val="0"/>
      <w:marBottom w:val="0"/>
      <w:divBdr>
        <w:top w:val="none" w:sz="0" w:space="0" w:color="auto"/>
        <w:left w:val="none" w:sz="0" w:space="0" w:color="auto"/>
        <w:bottom w:val="none" w:sz="0" w:space="0" w:color="auto"/>
        <w:right w:val="none" w:sz="0" w:space="0" w:color="auto"/>
      </w:divBdr>
    </w:div>
    <w:div w:id="1742092962">
      <w:bodyDiv w:val="1"/>
      <w:marLeft w:val="0"/>
      <w:marRight w:val="0"/>
      <w:marTop w:val="0"/>
      <w:marBottom w:val="0"/>
      <w:divBdr>
        <w:top w:val="none" w:sz="0" w:space="0" w:color="auto"/>
        <w:left w:val="none" w:sz="0" w:space="0" w:color="auto"/>
        <w:bottom w:val="none" w:sz="0" w:space="0" w:color="auto"/>
        <w:right w:val="none" w:sz="0" w:space="0" w:color="auto"/>
      </w:divBdr>
      <w:divsChild>
        <w:div w:id="1674452678">
          <w:marLeft w:val="274"/>
          <w:marRight w:val="0"/>
          <w:marTop w:val="0"/>
          <w:marBottom w:val="0"/>
          <w:divBdr>
            <w:top w:val="none" w:sz="0" w:space="0" w:color="auto"/>
            <w:left w:val="none" w:sz="0" w:space="0" w:color="auto"/>
            <w:bottom w:val="none" w:sz="0" w:space="0" w:color="auto"/>
            <w:right w:val="none" w:sz="0" w:space="0" w:color="auto"/>
          </w:divBdr>
        </w:div>
        <w:div w:id="1018853446">
          <w:marLeft w:val="446"/>
          <w:marRight w:val="0"/>
          <w:marTop w:val="0"/>
          <w:marBottom w:val="0"/>
          <w:divBdr>
            <w:top w:val="none" w:sz="0" w:space="0" w:color="auto"/>
            <w:left w:val="none" w:sz="0" w:space="0" w:color="auto"/>
            <w:bottom w:val="none" w:sz="0" w:space="0" w:color="auto"/>
            <w:right w:val="none" w:sz="0" w:space="0" w:color="auto"/>
          </w:divBdr>
        </w:div>
        <w:div w:id="1862277615">
          <w:marLeft w:val="446"/>
          <w:marRight w:val="0"/>
          <w:marTop w:val="0"/>
          <w:marBottom w:val="0"/>
          <w:divBdr>
            <w:top w:val="none" w:sz="0" w:space="0" w:color="auto"/>
            <w:left w:val="none" w:sz="0" w:space="0" w:color="auto"/>
            <w:bottom w:val="none" w:sz="0" w:space="0" w:color="auto"/>
            <w:right w:val="none" w:sz="0" w:space="0" w:color="auto"/>
          </w:divBdr>
        </w:div>
      </w:divsChild>
    </w:div>
    <w:div w:id="1768191691">
      <w:bodyDiv w:val="1"/>
      <w:marLeft w:val="0"/>
      <w:marRight w:val="0"/>
      <w:marTop w:val="0"/>
      <w:marBottom w:val="0"/>
      <w:divBdr>
        <w:top w:val="none" w:sz="0" w:space="0" w:color="auto"/>
        <w:left w:val="none" w:sz="0" w:space="0" w:color="auto"/>
        <w:bottom w:val="none" w:sz="0" w:space="0" w:color="auto"/>
        <w:right w:val="none" w:sz="0" w:space="0" w:color="auto"/>
      </w:divBdr>
    </w:div>
    <w:div w:id="1803957796">
      <w:bodyDiv w:val="1"/>
      <w:marLeft w:val="0"/>
      <w:marRight w:val="0"/>
      <w:marTop w:val="0"/>
      <w:marBottom w:val="0"/>
      <w:divBdr>
        <w:top w:val="none" w:sz="0" w:space="0" w:color="auto"/>
        <w:left w:val="none" w:sz="0" w:space="0" w:color="auto"/>
        <w:bottom w:val="none" w:sz="0" w:space="0" w:color="auto"/>
        <w:right w:val="none" w:sz="0" w:space="0" w:color="auto"/>
      </w:divBdr>
    </w:div>
    <w:div w:id="1810780054">
      <w:bodyDiv w:val="1"/>
      <w:marLeft w:val="0"/>
      <w:marRight w:val="0"/>
      <w:marTop w:val="0"/>
      <w:marBottom w:val="0"/>
      <w:divBdr>
        <w:top w:val="none" w:sz="0" w:space="0" w:color="auto"/>
        <w:left w:val="none" w:sz="0" w:space="0" w:color="auto"/>
        <w:bottom w:val="none" w:sz="0" w:space="0" w:color="auto"/>
        <w:right w:val="none" w:sz="0" w:space="0" w:color="auto"/>
      </w:divBdr>
    </w:div>
    <w:div w:id="1908563254">
      <w:bodyDiv w:val="1"/>
      <w:marLeft w:val="0"/>
      <w:marRight w:val="0"/>
      <w:marTop w:val="0"/>
      <w:marBottom w:val="0"/>
      <w:divBdr>
        <w:top w:val="none" w:sz="0" w:space="0" w:color="auto"/>
        <w:left w:val="none" w:sz="0" w:space="0" w:color="auto"/>
        <w:bottom w:val="none" w:sz="0" w:space="0" w:color="auto"/>
        <w:right w:val="none" w:sz="0" w:space="0" w:color="auto"/>
      </w:divBdr>
    </w:div>
    <w:div w:id="2115394522">
      <w:bodyDiv w:val="1"/>
      <w:marLeft w:val="0"/>
      <w:marRight w:val="0"/>
      <w:marTop w:val="0"/>
      <w:marBottom w:val="0"/>
      <w:divBdr>
        <w:top w:val="none" w:sz="0" w:space="0" w:color="auto"/>
        <w:left w:val="none" w:sz="0" w:space="0" w:color="auto"/>
        <w:bottom w:val="none" w:sz="0" w:space="0" w:color="auto"/>
        <w:right w:val="none" w:sz="0" w:space="0" w:color="auto"/>
      </w:divBdr>
      <w:divsChild>
        <w:div w:id="1997028188">
          <w:marLeft w:val="274"/>
          <w:marRight w:val="0"/>
          <w:marTop w:val="150"/>
          <w:marBottom w:val="0"/>
          <w:divBdr>
            <w:top w:val="none" w:sz="0" w:space="0" w:color="auto"/>
            <w:left w:val="none" w:sz="0" w:space="0" w:color="auto"/>
            <w:bottom w:val="none" w:sz="0" w:space="0" w:color="auto"/>
            <w:right w:val="none" w:sz="0" w:space="0" w:color="auto"/>
          </w:divBdr>
        </w:div>
        <w:div w:id="1633554784">
          <w:marLeft w:val="274"/>
          <w:marRight w:val="0"/>
          <w:marTop w:val="150"/>
          <w:marBottom w:val="0"/>
          <w:divBdr>
            <w:top w:val="none" w:sz="0" w:space="0" w:color="auto"/>
            <w:left w:val="none" w:sz="0" w:space="0" w:color="auto"/>
            <w:bottom w:val="none" w:sz="0" w:space="0" w:color="auto"/>
            <w:right w:val="none" w:sz="0" w:space="0" w:color="auto"/>
          </w:divBdr>
        </w:div>
        <w:div w:id="139348360">
          <w:marLeft w:val="274"/>
          <w:marRight w:val="0"/>
          <w:marTop w:val="150"/>
          <w:marBottom w:val="0"/>
          <w:divBdr>
            <w:top w:val="none" w:sz="0" w:space="0" w:color="auto"/>
            <w:left w:val="none" w:sz="0" w:space="0" w:color="auto"/>
            <w:bottom w:val="none" w:sz="0" w:space="0" w:color="auto"/>
            <w:right w:val="none" w:sz="0" w:space="0" w:color="auto"/>
          </w:divBdr>
        </w:div>
        <w:div w:id="548880619">
          <w:marLeft w:val="274"/>
          <w:marRight w:val="0"/>
          <w:marTop w:val="150"/>
          <w:marBottom w:val="0"/>
          <w:divBdr>
            <w:top w:val="none" w:sz="0" w:space="0" w:color="auto"/>
            <w:left w:val="none" w:sz="0" w:space="0" w:color="auto"/>
            <w:bottom w:val="none" w:sz="0" w:space="0" w:color="auto"/>
            <w:right w:val="none" w:sz="0" w:space="0" w:color="auto"/>
          </w:divBdr>
        </w:div>
        <w:div w:id="1437095201">
          <w:marLeft w:val="274"/>
          <w:marRight w:val="0"/>
          <w:marTop w:val="150"/>
          <w:marBottom w:val="0"/>
          <w:divBdr>
            <w:top w:val="none" w:sz="0" w:space="0" w:color="auto"/>
            <w:left w:val="none" w:sz="0" w:space="0" w:color="auto"/>
            <w:bottom w:val="none" w:sz="0" w:space="0" w:color="auto"/>
            <w:right w:val="none" w:sz="0" w:space="0" w:color="auto"/>
          </w:divBdr>
        </w:div>
        <w:div w:id="931620794">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Props1.xml><?xml version="1.0" encoding="utf-8"?>
<ds:datastoreItem xmlns:ds="http://schemas.openxmlformats.org/officeDocument/2006/customXml" ds:itemID="{97A3D4D0-DE11-4A51-B16A-E2D1779FA24C}"/>
</file>

<file path=customXml/itemProps2.xml><?xml version="1.0" encoding="utf-8"?>
<ds:datastoreItem xmlns:ds="http://schemas.openxmlformats.org/officeDocument/2006/customXml" ds:itemID="{D9252231-BFC0-4C50-B1A6-A1E38A62B144}"/>
</file>

<file path=customXml/itemProps3.xml><?xml version="1.0" encoding="utf-8"?>
<ds:datastoreItem xmlns:ds="http://schemas.openxmlformats.org/officeDocument/2006/customXml" ds:itemID="{4AD6BC56-BC90-4875-9D96-2513AEC3B83E}"/>
</file>

<file path=docProps/app.xml><?xml version="1.0" encoding="utf-8"?>
<Properties xmlns="http://schemas.openxmlformats.org/officeDocument/2006/extended-properties" xmlns:vt="http://schemas.openxmlformats.org/officeDocument/2006/docPropsVTypes">
  <Template>Normal</Template>
  <TotalTime>5</TotalTime>
  <Pages>29</Pages>
  <Words>11587</Words>
  <Characters>66047</Characters>
  <Application>Microsoft Office Word</Application>
  <DocSecurity>0</DocSecurity>
  <Lines>550</Lines>
  <Paragraphs>154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Földesová Motajová Zuzana</dc:creator>
  <cp:keywords/>
  <dc:description/>
  <cp:lastModifiedBy>Ďurejová Barbora</cp:lastModifiedBy>
  <cp:revision>8</cp:revision>
  <dcterms:created xsi:type="dcterms:W3CDTF">2025-03-26T08:36:00Z</dcterms:created>
  <dcterms:modified xsi:type="dcterms:W3CDTF">2025-03-26T09:45:00Z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ies>
</file>